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77B56" w14:textId="77777777" w:rsidR="00F46EFD" w:rsidRDefault="00F46EFD" w:rsidP="00F46EFD">
      <w:pPr>
        <w:pStyle w:val="Heading1"/>
      </w:pPr>
      <w:bookmarkStart w:id="0" w:name="_GoBack"/>
      <w:bookmarkEnd w:id="0"/>
      <w:r>
        <w:t>HESF - HESES18B - F</w:t>
      </w:r>
      <w:r w:rsidRPr="00305FD9">
        <w:t xml:space="preserve">unding rules and definitions </w:t>
      </w:r>
      <w:r w:rsidRPr="00E97127">
        <w:t>quiz</w:t>
      </w:r>
    </w:p>
    <w:p w14:paraId="21036B8F" w14:textId="77777777" w:rsidR="00F46EFD" w:rsidRDefault="00F46EFD" w:rsidP="00EC66A3">
      <w:pPr>
        <w:pStyle w:val="Boxedbluebullet"/>
        <w:spacing w:after="120"/>
      </w:pPr>
      <w:r>
        <w:t>In pairs or small groups, work together to complete the quiz. You can refer to the annexes in the draft guidance document provided.</w:t>
      </w:r>
    </w:p>
    <w:p w14:paraId="1B421435" w14:textId="77777777" w:rsidR="00F46EFD" w:rsidRDefault="00F46EFD" w:rsidP="00F46EFD">
      <w:pPr>
        <w:pStyle w:val="Boxedbluebullet"/>
      </w:pPr>
      <w:r>
        <w:t>In small groups / around the table, identify which annex subjects you feel the most confident with and any that you will need to improve your understanding of.</w:t>
      </w:r>
    </w:p>
    <w:p w14:paraId="21E78E98" w14:textId="77777777" w:rsidR="00F46EFD" w:rsidRDefault="00F46EFD" w:rsidP="00F46EFD">
      <w:pPr>
        <w:pStyle w:val="Heading2"/>
      </w:pPr>
      <w:r w:rsidRPr="00E97127">
        <w:t>Part 1-- Mode of study; price groups; length; residential status and fundability status</w:t>
      </w:r>
    </w:p>
    <w:p w14:paraId="4B561B42" w14:textId="77777777" w:rsidR="00F46EFD" w:rsidRDefault="00F46EFD" w:rsidP="00F46EFD">
      <w:pPr>
        <w:pStyle w:val="Heading3"/>
      </w:pPr>
      <w:r w:rsidRPr="00E97127">
        <w:t>Annex H: Mode of study</w:t>
      </w:r>
    </w:p>
    <w:p w14:paraId="41609C1A" w14:textId="04DC8FB9" w:rsidR="00F46EFD" w:rsidRDefault="00F46EFD" w:rsidP="00B77C41">
      <w:pPr>
        <w:pStyle w:val="Numberedtext1"/>
        <w:keepNext/>
        <w:ind w:left="284" w:hanging="284"/>
      </w:pPr>
      <w:r>
        <w:t>A student is studying on the final year of a 3-year full-time degree course, which is ordinarily completed in less than 24 weeks.</w:t>
      </w:r>
      <w:r w:rsidR="00EC66A3">
        <w:t xml:space="preserve"> (The student studies for an average of 30 hours per week).</w:t>
      </w:r>
      <w:r>
        <w:t xml:space="preserve"> What is the mode of study?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3B9AFB9A" w14:textId="77777777" w:rsidTr="00CD6EC0">
        <w:tc>
          <w:tcPr>
            <w:tcW w:w="3209" w:type="dxa"/>
          </w:tcPr>
          <w:p w14:paraId="32516537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77A4CBAA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76C7E52F" w14:textId="77777777" w:rsidR="00F46EFD" w:rsidRDefault="00F46EFD" w:rsidP="00CD6EC0">
            <w:r w:rsidRPr="00721EB9">
              <w:t>c) Sandwich year out</w:t>
            </w:r>
          </w:p>
          <w:p w14:paraId="08262D0D" w14:textId="77777777" w:rsidR="00EB77DA" w:rsidRDefault="00EB77DA" w:rsidP="00CD6EC0"/>
        </w:tc>
      </w:tr>
    </w:tbl>
    <w:p w14:paraId="49C8B82A" w14:textId="2DEF2F42" w:rsidR="00F46EFD" w:rsidRDefault="00F46EFD" w:rsidP="00B77C41">
      <w:pPr>
        <w:pStyle w:val="Numberedtext1"/>
        <w:keepNext/>
        <w:ind w:left="284" w:hanging="284"/>
      </w:pPr>
      <w:r w:rsidRPr="008901D3">
        <w:t>A s</w:t>
      </w:r>
      <w:r>
        <w:t>tudent studies full-time in 2017-18</w:t>
      </w:r>
      <w:r w:rsidRPr="008901D3">
        <w:t xml:space="preserve"> for the </w:t>
      </w:r>
      <w:r w:rsidR="00CD6EC0">
        <w:t>first</w:t>
      </w:r>
      <w:r w:rsidR="00CD6EC0" w:rsidRPr="008901D3">
        <w:t xml:space="preserve"> </w:t>
      </w:r>
      <w:r w:rsidRPr="008901D3">
        <w:t>year of their course. They complete all intended modules in term one</w:t>
      </w:r>
      <w:r w:rsidR="00EC66A3">
        <w:t xml:space="preserve"> (16 weeks long)</w:t>
      </w:r>
      <w:r w:rsidRPr="008901D3">
        <w:t>, but then suspend their studies and don’t take the term two modules. They return to ful</w:t>
      </w:r>
      <w:r>
        <w:t>l-time study in term two</w:t>
      </w:r>
      <w:r w:rsidR="00EC66A3">
        <w:t xml:space="preserve"> (again 16 weeks long)</w:t>
      </w:r>
      <w:r>
        <w:t xml:space="preserve"> of 2018</w:t>
      </w:r>
      <w:r w:rsidR="00EC66A3">
        <w:noBreakHyphen/>
      </w:r>
      <w:r>
        <w:t>19</w:t>
      </w:r>
      <w:r w:rsidRPr="008901D3">
        <w:t xml:space="preserve"> and complete all remaining modules. </w:t>
      </w:r>
      <w:r w:rsidR="00EC66A3">
        <w:t xml:space="preserve">(In each term they are studying for an average of 30 hours per week). </w:t>
      </w:r>
      <w:r w:rsidRPr="008901D3">
        <w:t xml:space="preserve">For each year, what mode </w:t>
      </w:r>
      <w:r>
        <w:t xml:space="preserve">of study </w:t>
      </w:r>
      <w:r w:rsidRPr="008901D3">
        <w:t>are they?</w:t>
      </w:r>
    </w:p>
    <w:p w14:paraId="344E05DD" w14:textId="1283C138" w:rsidR="00F46EFD" w:rsidRPr="00087487" w:rsidRDefault="00F46EFD" w:rsidP="00F46EFD">
      <w:pPr>
        <w:rPr>
          <w:u w:val="single"/>
        </w:rPr>
      </w:pPr>
      <w:r w:rsidRPr="00087487">
        <w:rPr>
          <w:u w:val="single"/>
        </w:rPr>
        <w:t>2017-18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43F76D48" w14:textId="77777777" w:rsidTr="00CD6EC0">
        <w:tc>
          <w:tcPr>
            <w:tcW w:w="3209" w:type="dxa"/>
          </w:tcPr>
          <w:p w14:paraId="3043CAA0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33C11FB6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1529DEF7" w14:textId="77777777" w:rsidR="00F46EFD" w:rsidRDefault="00F46EFD" w:rsidP="00CD6EC0">
            <w:r w:rsidRPr="00721EB9">
              <w:t>c) Sandwich year out</w:t>
            </w:r>
          </w:p>
          <w:p w14:paraId="12EA5CD1" w14:textId="77777777" w:rsidR="000B23D4" w:rsidRDefault="000B23D4" w:rsidP="00CD6EC0"/>
        </w:tc>
      </w:tr>
    </w:tbl>
    <w:p w14:paraId="4F8DE1C2" w14:textId="158B1ED0" w:rsidR="00F46EFD" w:rsidRDefault="00F46EFD" w:rsidP="00F46EFD">
      <w:pPr>
        <w:rPr>
          <w:u w:val="single"/>
        </w:rPr>
      </w:pPr>
      <w:r w:rsidRPr="00087487">
        <w:rPr>
          <w:u w:val="single"/>
        </w:rPr>
        <w:t>2018-19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682E82CF" w14:textId="77777777" w:rsidTr="00CD6EC0">
        <w:tc>
          <w:tcPr>
            <w:tcW w:w="3209" w:type="dxa"/>
          </w:tcPr>
          <w:p w14:paraId="111AAF77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47CA0F7E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6CFF63E6" w14:textId="77777777" w:rsidR="00F46EFD" w:rsidRDefault="00F46EFD" w:rsidP="00CD6EC0">
            <w:r w:rsidRPr="00721EB9">
              <w:t>c) Sandwich year out</w:t>
            </w:r>
          </w:p>
          <w:p w14:paraId="2DC13582" w14:textId="77777777" w:rsidR="00EB77DA" w:rsidRDefault="00EB77DA" w:rsidP="00CD6EC0"/>
        </w:tc>
      </w:tr>
    </w:tbl>
    <w:p w14:paraId="1E319F53" w14:textId="4BF4BF48" w:rsidR="00F46EFD" w:rsidRPr="00B77C41" w:rsidRDefault="00F46EFD" w:rsidP="00B77C41">
      <w:pPr>
        <w:pStyle w:val="Numberedtext1"/>
        <w:keepNext/>
        <w:ind w:left="284" w:hanging="284"/>
      </w:pPr>
      <w:r w:rsidRPr="00087487">
        <w:t>A studen</w:t>
      </w:r>
      <w:r>
        <w:t>t was studying full-time in 2017-18</w:t>
      </w:r>
      <w:r w:rsidRPr="00087487">
        <w:t>, b</w:t>
      </w:r>
      <w:r>
        <w:t>ut failed three modules. In 2018-19</w:t>
      </w:r>
      <w:r w:rsidRPr="00087487">
        <w:t xml:space="preserve"> the student repeats these modules on a part-time basis, studying for an average of 7 hours per week</w:t>
      </w:r>
      <w:r w:rsidR="00EC66A3">
        <w:t xml:space="preserve"> over 30 weeks</w:t>
      </w:r>
      <w:r w:rsidRPr="00087487">
        <w:t>. The student is still eligible to claim full-time student support. For each year, what mode are they?</w:t>
      </w:r>
      <w:r w:rsidRPr="00B77C41">
        <w:t xml:space="preserve"> </w:t>
      </w:r>
    </w:p>
    <w:p w14:paraId="70B9EDD2" w14:textId="0DE436EA" w:rsidR="00F46EFD" w:rsidRPr="00087487" w:rsidRDefault="00F46EFD" w:rsidP="00F46EFD">
      <w:pPr>
        <w:rPr>
          <w:u w:val="single"/>
        </w:rPr>
      </w:pPr>
      <w:r w:rsidRPr="00087487">
        <w:rPr>
          <w:u w:val="single"/>
        </w:rPr>
        <w:t>2017-18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0961F659" w14:textId="77777777" w:rsidTr="00CD6EC0">
        <w:tc>
          <w:tcPr>
            <w:tcW w:w="3209" w:type="dxa"/>
          </w:tcPr>
          <w:p w14:paraId="27E573BF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289633F0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47977DF9" w14:textId="77777777" w:rsidR="000B23D4" w:rsidRDefault="00F46EFD" w:rsidP="00CD6EC0">
            <w:r w:rsidRPr="00721EB9">
              <w:t>c) Sandwich year out</w:t>
            </w:r>
          </w:p>
          <w:p w14:paraId="255357F4" w14:textId="411E6F10" w:rsidR="00EC66A3" w:rsidRDefault="00EC66A3" w:rsidP="00CD6EC0"/>
        </w:tc>
      </w:tr>
    </w:tbl>
    <w:p w14:paraId="0C0C1B8A" w14:textId="407002CA" w:rsidR="00F46EFD" w:rsidRDefault="00F46EFD" w:rsidP="00F46EFD">
      <w:pPr>
        <w:rPr>
          <w:u w:val="single"/>
        </w:rPr>
      </w:pPr>
      <w:r w:rsidRPr="00087487">
        <w:rPr>
          <w:u w:val="single"/>
        </w:rPr>
        <w:t>2018-19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7960E20E" w14:textId="77777777" w:rsidTr="00CD6EC0">
        <w:tc>
          <w:tcPr>
            <w:tcW w:w="3209" w:type="dxa"/>
          </w:tcPr>
          <w:p w14:paraId="4789260B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73855493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0BCA5973" w14:textId="77777777" w:rsidR="00EC66A3" w:rsidRDefault="00F46EFD" w:rsidP="00CD6EC0">
            <w:r w:rsidRPr="00721EB9">
              <w:t>c) Sandwich year out</w:t>
            </w:r>
          </w:p>
          <w:p w14:paraId="5D0A90C6" w14:textId="3ABE61E9" w:rsidR="00EC66A3" w:rsidRDefault="00EC66A3" w:rsidP="00CD6EC0"/>
        </w:tc>
      </w:tr>
    </w:tbl>
    <w:p w14:paraId="44CE2FD1" w14:textId="2DFE7200" w:rsidR="00EC66A3" w:rsidRDefault="00F46EFD" w:rsidP="00B77C41">
      <w:pPr>
        <w:pStyle w:val="Numberedtext1"/>
        <w:keepNext/>
        <w:ind w:left="284" w:hanging="284"/>
      </w:pPr>
      <w:r w:rsidRPr="006B50CC">
        <w:lastRenderedPageBreak/>
        <w:t>A student studies for a</w:t>
      </w:r>
      <w:r w:rsidR="00EC66A3">
        <w:t xml:space="preserve"> foundation degree</w:t>
      </w:r>
      <w:r w:rsidRPr="006B50CC">
        <w:t xml:space="preserve"> over 3 years</w:t>
      </w:r>
      <w:r w:rsidR="00EC66A3">
        <w:t>, with more than 30 hours of activity per week in each year.</w:t>
      </w:r>
      <w:r w:rsidRPr="006B50CC">
        <w:t xml:space="preserve"> This </w:t>
      </w:r>
      <w:r w:rsidR="00EC66A3">
        <w:t xml:space="preserve">course </w:t>
      </w:r>
      <w:r w:rsidRPr="006B50CC">
        <w:t xml:space="preserve">includes </w:t>
      </w:r>
      <w:r>
        <w:t>a</w:t>
      </w:r>
      <w:r w:rsidRPr="006B50CC">
        <w:t xml:space="preserve"> period of work placement, taken in the second year of </w:t>
      </w:r>
      <w:r>
        <w:t>the course</w:t>
      </w:r>
      <w:r w:rsidRPr="006B50CC">
        <w:t>, shown in the diagram below:</w:t>
      </w:r>
      <w:r w:rsidR="00EC66A3" w:rsidRPr="00EC66A3">
        <w:t xml:space="preserve"> </w:t>
      </w:r>
    </w:p>
    <w:p w14:paraId="7A3407C7" w14:textId="3D84AEED" w:rsidR="00FD39C5" w:rsidRDefault="00FD39C5" w:rsidP="00FD39C5">
      <w:pPr>
        <w:pStyle w:val="Numberedtext1"/>
        <w:keepLines/>
        <w:numPr>
          <w:ilvl w:val="0"/>
          <w:numId w:val="0"/>
        </w:numPr>
        <w:spacing w:before="240"/>
        <w:ind w:left="357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263790F1" wp14:editId="3CC03508">
                <wp:extent cx="5228694" cy="1645365"/>
                <wp:effectExtent l="0" t="0" r="0" b="0"/>
                <wp:docPr id="1" name="Group 1" descr="Figure H1 (example). Visual representation of information in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8694" cy="1645365"/>
                          <a:chOff x="0" y="38"/>
                          <a:chExt cx="52289" cy="16555"/>
                        </a:xfrm>
                      </wpg:grpSpPr>
                      <wps:wsp>
                        <wps:cNvPr id="2" name="Text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6" y="83"/>
                            <a:ext cx="15700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40AF0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38 weeks (including vacation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spAutoFit/>
                        </wps:bodyPr>
                      </wps:wsp>
                      <wps:wsp>
                        <wps:cNvPr id="3" name="Text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86"/>
                            <a:ext cx="910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47D24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September 16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7" y="11188"/>
                            <a:ext cx="910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1B3C1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September 17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8789" y="11192"/>
                            <a:ext cx="910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9DFAF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September 18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3183" y="11191"/>
                            <a:ext cx="910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71E0E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September 19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2607" y="14049"/>
                            <a:ext cx="14403" cy="2500"/>
                            <a:chOff x="2607" y="14049"/>
                            <a:chExt cx="14402" cy="2499"/>
                          </a:xfrm>
                        </wpg:grpSpPr>
                        <wps:wsp>
                          <wps:cNvPr id="8" name="Straight Arrow Connector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7" y="14049"/>
                              <a:ext cx="1440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1" y="14070"/>
                              <a:ext cx="11017" cy="2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8E4FD" w14:textId="77777777" w:rsidR="00B77C41" w:rsidRDefault="00B77C41" w:rsidP="00FD39C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1st year of course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7080" y="14049"/>
                            <a:ext cx="14401" cy="2519"/>
                            <a:chOff x="17080" y="14049"/>
                            <a:chExt cx="14401" cy="2518"/>
                          </a:xfrm>
                        </wpg:grpSpPr>
                        <wps:wsp>
                          <wps:cNvPr id="11" name="Straight Arrow Connector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80" y="14049"/>
                              <a:ext cx="1440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9" y="14089"/>
                              <a:ext cx="11430" cy="2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598F4" w14:textId="77777777" w:rsidR="00B77C41" w:rsidRDefault="00B77C41" w:rsidP="00FD39C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2nd year of course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31481" y="14049"/>
                            <a:ext cx="14403" cy="2544"/>
                            <a:chOff x="31481" y="14049"/>
                            <a:chExt cx="14402" cy="2543"/>
                          </a:xfrm>
                        </wpg:grpSpPr>
                        <wps:wsp>
                          <wps:cNvPr id="14" name="Straight Arrow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81" y="14049"/>
                              <a:ext cx="1440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96" y="14114"/>
                              <a:ext cx="11207" cy="2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9705A" w14:textId="77777777" w:rsidR="00B77C41" w:rsidRDefault="00B77C41" w:rsidP="00FD39C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3rd year of course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24" y="2521"/>
                            <a:ext cx="12335" cy="50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7810E0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2678" y="9054"/>
                            <a:ext cx="43205" cy="2160"/>
                            <a:chOff x="2678" y="9054"/>
                            <a:chExt cx="43204" cy="2160"/>
                          </a:xfrm>
                        </wpg:grpSpPr>
                        <wps:wsp>
                          <wps:cNvPr id="19" name="Straight Connector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11214"/>
                              <a:ext cx="4320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Straight Connector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90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Straight Connector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80" y="90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Straight Connector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81" y="90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Straight Connector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83" y="90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365" y="2496"/>
                            <a:ext cx="12643" cy="50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2C3598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341" y="183"/>
                            <a:ext cx="5546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0E85B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38 weeks</w:t>
                              </w:r>
                            </w:p>
                          </w:txbxContent>
                        </wps:txbx>
                        <wps:bodyPr rot="0" vert="horz" wrap="none" lIns="36000" tIns="36000" rIns="36000" bIns="36000" anchor="t" anchorCtr="0" upright="1">
                          <a:spAutoFit/>
                        </wps:bodyPr>
                      </wps:wsp>
                      <wps:wsp>
                        <wps:cNvPr id="27" name="Text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3" y="38"/>
                            <a:ext cx="12450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EA041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48 weeks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sp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284" y="2466"/>
                            <a:ext cx="12148" cy="5007"/>
                          </a:xfrm>
                          <a:prstGeom prst="rect">
                            <a:avLst/>
                          </a:prstGeom>
                          <a:solidFill>
                            <a:srgbClr val="E6E0EC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6DC77" w14:textId="77777777" w:rsidR="00B77C41" w:rsidRDefault="00B77C41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Work placement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790F1" id="Group 1" o:spid="_x0000_s1026" alt="Figure H1 (example). Visual representation of information in text." style="width:411.7pt;height:129.55pt;mso-position-horizontal-relative:char;mso-position-vertical-relative:line" coordorigin=",38" coordsize="52289,1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6" o:spid="_x0000_s1027" type="#_x0000_t202" style="position:absolute;left:106;top:83;width:15700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WKsAA&#10;AADaAAAADwAAAGRycy9kb3ducmV2LnhtbESPQYvCMBSE74L/ITxhb5rag7jVKCou9iZr/QGP5tkU&#10;m5fSxLb77zcLCx6HmfmG2e5H24ieOl87VrBcJCCIS6drrhTci6/5GoQPyBobx6Tghzzsd9PJFjPt&#10;Bv6m/hYqESHsM1RgQmgzKX1pyKJfuJY4eg/XWQxRdpXUHQ4RbhuZJslKWqw5Lhhs6WSofN5eNlIK&#10;+rwUdZpfz9V1cEs+5s/eKPUxGw8bEIHG8A7/t3OtIIW/K/EG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mWKsAAAADaAAAADwAAAAAAAAAAAAAAAACYAgAAZHJzL2Rvd25y&#10;ZXYueG1sUEsFBgAAAAAEAAQA9QAAAIUDAAAAAA==&#10;" filled="f" stroked="f">
                  <v:textbox style="mso-fit-shape-to-text:t" inset="1mm,1mm,1mm,1mm">
                    <w:txbxContent>
                      <w:p w14:paraId="5E440AF0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38 weeks (including vacation</w:t>
                        </w:r>
                      </w:p>
                    </w:txbxContent>
                  </v:textbox>
                </v:shape>
                <v:shape id="TextBox 52" o:spid="_x0000_s1028" type="#_x0000_t202" style="position:absolute;top:11186;width:9106;height:2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14:paraId="73647D24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September 16</w:t>
                        </w:r>
                      </w:p>
                    </w:txbxContent>
                  </v:textbox>
                </v:shape>
                <v:shape id="TextBox 53" o:spid="_x0000_s1029" type="#_x0000_t202" style="position:absolute;left:14327;top:11188;width:9106;height:2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14:paraId="7121B3C1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September 17</w:t>
                        </w:r>
                      </w:p>
                    </w:txbxContent>
                  </v:textbox>
                </v:shape>
                <v:shape id="TextBox 54" o:spid="_x0000_s1030" type="#_x0000_t202" style="position:absolute;left:28789;top:11192;width:9106;height:2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14:paraId="34F9DFAF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September 18</w:t>
                        </w:r>
                      </w:p>
                    </w:txbxContent>
                  </v:textbox>
                </v:shape>
                <v:shape id="TextBox 55" o:spid="_x0000_s1031" type="#_x0000_t202" style="position:absolute;left:43183;top:11191;width:9106;height:2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14:paraId="71071E0E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September 19</w:t>
                        </w:r>
                      </w:p>
                    </w:txbxContent>
                  </v:textbox>
                </v:shape>
                <v:group id="Group 8" o:spid="_x0000_s1032" style="position:absolute;left:2607;top:14049;width:14403;height:2500" coordorigin="2607,14049" coordsize="14402,2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33" type="#_x0000_t32" style="position:absolute;left:2607;top:14049;width:144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zfUL4AAADaAAAADwAAAGRycy9kb3ducmV2LnhtbERPy4rCMBTdC/5DuII7Ta2MlGoqRXDQ&#10;mZWv/aW5fWBzU5qM1vn6yWLA5eG8N9vBtOJBvWssK1jMIxDEhdUNVwqul/0sAeE8ssbWMil4kYNt&#10;Nh5tMNX2ySd6nH0lQgi7FBXU3neplK6oyaCb2444cKXtDfoA+0rqHp8h3LQyjqKVNNhwaKixo11N&#10;xf38YxSUx/yVLL8/6Dc5fV7sV77nOL4pNZ0M+RqEp8G/xf/ug1YQtoYr4QbI7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fN9QvgAAANoAAAAPAAAAAAAAAAAAAAAAAKEC&#10;AABkcnMvZG93bnJldi54bWxQSwUGAAAAAAQABAD5AAAAjAMAAAAA&#10;" strokeweight="1.5pt">
                    <v:stroke startarrow="open" endarrow="open"/>
                  </v:shape>
                  <v:shape id="TextBox 83" o:spid="_x0000_s1034" type="#_x0000_t202" style="position:absolute;left:4271;top:14070;width:11017;height:24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  <v:textbox style="mso-fit-shape-to-text:t">
                      <w:txbxContent>
                        <w:p w14:paraId="3918E4FD" w14:textId="77777777" w:rsidR="00B77C41" w:rsidRDefault="00B77C41" w:rsidP="00FD39C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1st year of course</w:t>
                          </w:r>
                        </w:p>
                      </w:txbxContent>
                    </v:textbox>
                  </v:shape>
                </v:group>
                <v:group id="Group 9" o:spid="_x0000_s1035" style="position:absolute;left:17080;top:14049;width:14401;height:2519" coordorigin="17080,14049" coordsize="14401,2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Straight Arrow Connector 28" o:spid="_x0000_s1036" type="#_x0000_t32" style="position:absolute;left:17080;top:14049;width:144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Zbm8EAAADbAAAADwAAAGRycy9kb3ducmV2LnhtbERPTWuDQBC9F/Iflgn0VtdYGsRmE6SQ&#10;0qYnNbkP7kSl7qy420T767OFQm7zeJ+z2U2mFxcaXWdZwSqKQRDXVnfcKDhW+6cUhPPIGnvLpGAm&#10;B7vt4mGDmbZXLuhS+kaEEHYZKmi9HzIpXd2SQRfZgThwZzsa9AGOjdQjXkO46WUSx2tpsOPQ0OJA&#10;by3V3+WPUXD+zOf0+euFftPivbKHfM9JclLqcTnlryA8Tf4u/nd/6DB/BX+/h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VlubwQAAANsAAAAPAAAAAAAAAAAAAAAA&#10;AKECAABkcnMvZG93bnJldi54bWxQSwUGAAAAAAQABAD5AAAAjwMAAAAA&#10;" strokeweight="1.5pt">
                    <v:stroke startarrow="open" endarrow="open"/>
                  </v:shape>
                  <v:shape id="TextBox 81" o:spid="_x0000_s1037" type="#_x0000_t202" style="position:absolute;left:18729;top:14089;width:11430;height:24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  <v:textbox style="mso-fit-shape-to-text:t">
                      <w:txbxContent>
                        <w:p w14:paraId="0B1598F4" w14:textId="77777777" w:rsidR="00B77C41" w:rsidRDefault="00B77C41" w:rsidP="00FD39C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2nd year of course</w:t>
                          </w:r>
                        </w:p>
                      </w:txbxContent>
                    </v:textbox>
                  </v:shape>
                </v:group>
                <v:group id="Group 10" o:spid="_x0000_s1038" style="position:absolute;left:31481;top:14049;width:14403;height:2544" coordorigin="31481,14049" coordsize="14402,2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Straight Arrow Connector 26" o:spid="_x0000_s1039" type="#_x0000_t32" style="position:absolute;left:31481;top:14049;width:144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4A8IAAADbAAAADwAAAGRycy9kb3ducmV2LnhtbERPTWvCQBC9C/0PyxR6001TlRBdQyik&#10;1HqKtvchOybB7GzIbjXpr+8WCt7m8T5nm42mE1caXGtZwfMiAkFcWd1yreDzVMwTEM4ja+wsk4KJ&#10;HGS7h9kWU21vXNL16GsRQtilqKDxvk+ldFVDBt3C9sSBO9vBoA9wqKUe8BbCTSfjKFpLgy2HhgZ7&#10;em2ouhy/jYLzPp+Sl8OKfpLy7WQ/8oLj+Eupp8cx34DwNPq7+N/9rsP8Jfz9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H4A8IAAADbAAAADwAAAAAAAAAAAAAA&#10;AAChAgAAZHJzL2Rvd25yZXYueG1sUEsFBgAAAAAEAAQA+QAAAJADAAAAAA==&#10;" strokeweight="1.5pt">
                    <v:stroke startarrow="open" endarrow="open"/>
                  </v:shape>
                  <v:shape id="TextBox 79" o:spid="_x0000_s1040" type="#_x0000_t202" style="position:absolute;left:33096;top:14114;width:11207;height:24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  <v:textbox style="mso-fit-shape-to-text:t">
                      <w:txbxContent>
                        <w:p w14:paraId="5699705A" w14:textId="77777777" w:rsidR="00B77C41" w:rsidRDefault="00B77C41" w:rsidP="00FD39C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3rd year of course</w:t>
                          </w:r>
                        </w:p>
                      </w:txbxContent>
                    </v:textbox>
                  </v:shape>
                </v:group>
                <v:rect id="Rectangle 11" o:spid="_x0000_s1041" style="position:absolute;left:2624;top:2521;width:12335;height:5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ujsIA&#10;AADbAAAADwAAAGRycy9kb3ducmV2LnhtbERPS4vCMBC+C/6HMAt7EU1drEjXKCIIexF8It6GZrbt&#10;2kxqk6313xtB8DYf33Om89aUoqHaFZYVDAcRCOLU6oIzBYf9qj8B4TyyxtIyKbiTg/ms25liou2N&#10;t9TsfCZCCLsEFeTeV4mULs3JoBvYijhwv7Y26AOsM6lrvIVwU8qvKBpLgwWHhhwrWuaUXnb/RsFm&#10;JC+jrHeMo/XwdI3/VnEhm7NSnx/t4huEp9a/xS/3jw7zx/D8JR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G6OwgAAANsAAAAPAAAAAAAAAAAAAAAAAJgCAABkcnMvZG93&#10;bnJldi54bWxQSwUGAAAAAAQABAD1AAAAhwMAAAAA&#10;" filled="f" strokeweight="2pt">
                  <v:textbox>
                    <w:txbxContent>
                      <w:p w14:paraId="577810E0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Study</w:t>
                        </w:r>
                      </w:p>
                    </w:txbxContent>
                  </v:textbox>
                </v:rect>
                <v:group id="Group 13" o:spid="_x0000_s1042" style="position:absolute;left:2678;top:9054;width:43205;height:2160" coordorigin="2678,9054" coordsize="4320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Straight Connector 21" o:spid="_x0000_s1043" style="position:absolute;visibility:visible;mso-wrap-style:square" from="2678,11214" to="45883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31sEAAADbAAAADwAAAGRycy9kb3ducmV2LnhtbERPTWvCQBC9F/wPywje6sYipabZSBGE&#10;HPRgKnodstNsaHY2Zre6/nu3UOhtHu9zinW0vbjS6DvHChbzDARx43THrYLj5/b5DYQPyBp7x6Tg&#10;Th7W5eSpwFy7Gx/oWodWpBD2OSowIQy5lL4xZNHP3UCcuC83WgwJjq3UI95SuO3lS5a9SosdpwaD&#10;A20MNd/1j1Ww3FdGn+PO7w5ZdaLustxcaqfUbBo/3kEEiuFf/OeudJq/gt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TfWwQAAANsAAAAPAAAAAAAAAAAAAAAA&#10;AKECAABkcnMvZG93bnJldi54bWxQSwUGAAAAAAQABAD5AAAAjwMAAAAA&#10;" strokeweight="2.25pt"/>
                  <v:line id="Straight Connector 22" o:spid="_x0000_s1044" style="position:absolute;visibility:visible;mso-wrap-style:square" from="2678,9054" to="2678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    <v:line id="Straight Connector 23" o:spid="_x0000_s1045" style="position:absolute;visibility:visible;mso-wrap-style:square" from="17080,9054" to="1708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xbcEAAADbAAAADwAAAGRycy9kb3ducmV2LnhtbESPQYvCMBSE74L/ITzB25oqIks1ighC&#10;D+7BKnp9NM+m2LzUJqv13xtB8DjMzDfMYtXZWtyp9ZVjBeNRAoK4cLriUsHxsP35BeEDssbaMSl4&#10;kofVst9bYKrdg/d0z0MpIoR9igpMCE0qpS8MWfQj1xBH7+JaiyHKtpS6xUeE21pOkmQmLVYcFww2&#10;tDFUXPN/q2D6lxl97nZ+t0+yE1W36eaWO6WGg249BxGoC9/wp51pBZMxvL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n/FtwQAAANsAAAAPAAAAAAAAAAAAAAAA&#10;AKECAABkcnMvZG93bnJldi54bWxQSwUGAAAAAAQABAD5AAAAjwMAAAAA&#10;" strokeweight="2.25pt"/>
                  <v:line id="Straight Connector 24" o:spid="_x0000_s1046" style="position:absolute;visibility:visible;mso-wrap-style:square" from="31481,9054" to="3148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  <v:line id="Straight Connector 25" o:spid="_x0000_s1047" style="position:absolute;visibility:visible;mso-wrap-style:square" from="45883,9054" to="45883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  </v:group>
                <v:rect id="Rectangle 14" o:spid="_x0000_s1048" style="position:absolute;left:31365;top:2496;width:12643;height:5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f38UA&#10;AADbAAAADwAAAGRycy9kb3ducmV2LnhtbESPQWvCQBSE74L/YXmCl6IbJSmSuoZSELwUqraU3h7Z&#10;1yRN9m3MrjH+e1coeBxm5htmnQ2mET11rrKsYDGPQBDnVldcKPg8bmcrEM4ja2wsk4IrOcg249Ea&#10;U20vvKf+4AsRIOxSVFB636ZSurwkg25uW+Lg/drOoA+yK6Tu8BLgppHLKHqWBisOCyW29FZSXh/O&#10;RsFHLOu4ePpKovfF9yn52yaV7H+Umk6G1xcQngb/CP+3d1rBMob7l/A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p/fxQAAANsAAAAPAAAAAAAAAAAAAAAAAJgCAABkcnMv&#10;ZG93bnJldi54bWxQSwUGAAAAAAQABAD1AAAAigMAAAAA&#10;" filled="f" strokeweight="2pt">
                  <v:textbox>
                    <w:txbxContent>
                      <w:p w14:paraId="342C3598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Study</w:t>
                        </w:r>
                      </w:p>
                    </w:txbxContent>
                  </v:textbox>
                </v:rect>
                <v:shape id="TextBox 92" o:spid="_x0000_s1049" type="#_x0000_t202" style="position:absolute;left:35341;top:183;width:5546;height:2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zncQA&#10;AADbAAAADwAAAGRycy9kb3ducmV2LnhtbESPQWvCQBSE7wX/w/IKvdVNPahENyFKC9KD1NgevD2y&#10;zySYfRt2VxP/vVso9DjMzDfMOh9NJ27kfGtZwds0AUFcWd1yreD7+PG6BOEDssbOMim4k4c8mzyt&#10;MdV24APdylCLCGGfooImhD6V0lcNGfRT2xNH72ydwRClq6V2OES46eQsSebSYMtxocGetg1Vl/Jq&#10;FPwU5eLz5Nie3+XmOuzc176gWqmX57FYgQg0hv/wX3unFczm8Psl/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853EAAAA2wAAAA8AAAAAAAAAAAAAAAAAmAIAAGRycy9k&#10;b3ducmV2LnhtbFBLBQYAAAAABAAEAPUAAACJAwAAAAA=&#10;" filled="f" stroked="f">
                  <v:textbox style="mso-fit-shape-to-text:t" inset="1mm,1mm,1mm,1mm">
                    <w:txbxContent>
                      <w:p w14:paraId="1F10E85B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38 weeks</w:t>
                        </w:r>
                      </w:p>
                    </w:txbxContent>
                  </v:textbox>
                </v:shape>
                <v:shape id="TextBox 149" o:spid="_x0000_s1050" type="#_x0000_t202" style="position:absolute;left:16833;top:38;width:12450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oOMIA&#10;AADbAAAADwAAAGRycy9kb3ducmV2LnhtbESPwWrDMBBE74X+g9hCbo0cH9LGiRzS0hDfQuN8wGJt&#10;LGNrZSzVdv4+KhR6HGbmDbPbz7YTIw2+caxgtUxAEFdON1wruJbH13cQPiBr7ByTgjt52OfPTzvM&#10;tJv4m8ZLqEWEsM9QgQmhz6T0lSGLful64ujd3GAxRDnUUg84RbjtZJoka2mx4bhgsKdPQ1V7+bGR&#10;UtLmVDZpcf6qz5Nb8UfRjkapxct82IIINIf/8F+70ArSN/j9En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+g4wgAAANsAAAAPAAAAAAAAAAAAAAAAAJgCAABkcnMvZG93&#10;bnJldi54bWxQSwUGAAAAAAQABAD1AAAAhwMAAAAA&#10;" filled="f" stroked="f">
                  <v:textbox style="mso-fit-shape-to-text:t" inset="1mm,1mm,1mm,1mm">
                    <w:txbxContent>
                      <w:p w14:paraId="66AEA041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48 weeks</w:t>
                        </w:r>
                      </w:p>
                    </w:txbxContent>
                  </v:textbox>
                </v:shape>
                <v:rect id="Rectangle 19" o:spid="_x0000_s1051" style="position:absolute;left:17284;top:2466;width:12148;height:5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q3sMA&#10;AADbAAAADwAAAGRycy9kb3ducmV2LnhtbESP0WoCMRRE3wv9h3ALvtWsUqyuRpEtBfHBUvUDrpvr&#10;ZnFzsySprn69EYQ+DjNzhpktOtuIM/lQO1Yw6GcgiEuna64U7Hff72MQISJrbByTgisFWMxfX2aY&#10;a3fhXzpvYyUShEOOCkyMbS5lKA1ZDH3XEifv6LzFmKSvpPZ4SXDbyGGWjaTFmtOCwZYKQ+Vp+2cV&#10;jJc/t6/DZ+F3H+26ON3syLgNKtV765ZTEJG6+B9+tldawXACj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yq3sMAAADbAAAADwAAAAAAAAAAAAAAAACYAgAAZHJzL2Rv&#10;d25yZXYueG1sUEsFBgAAAAAEAAQA9QAAAIgDAAAAAA==&#10;" fillcolor="#e6e0ec" strokeweight="2pt">
                  <v:textbox inset="1mm,1mm,1mm,1mm">
                    <w:txbxContent>
                      <w:p w14:paraId="5446DC77" w14:textId="77777777" w:rsidR="00B77C41" w:rsidRDefault="00B77C41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Work placement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5B7171" w14:textId="32176D5D" w:rsidR="00F46EFD" w:rsidRDefault="00F46EFD" w:rsidP="00FD39C5">
      <w:pPr>
        <w:pStyle w:val="Numberedtext1"/>
        <w:keepLines/>
        <w:numPr>
          <w:ilvl w:val="0"/>
          <w:numId w:val="0"/>
        </w:numPr>
        <w:spacing w:before="240"/>
        <w:ind w:left="357"/>
      </w:pPr>
      <w:r>
        <w:t>The mode for each year will be:</w:t>
      </w:r>
      <w:r w:rsidR="00EC66A3" w:rsidRPr="00EC66A3">
        <w:rPr>
          <w:noProof/>
          <w:lang w:eastAsia="en-GB"/>
        </w:rPr>
        <w:t xml:space="preserve"> </w:t>
      </w:r>
    </w:p>
    <w:p w14:paraId="5D1BE3D3" w14:textId="254834B8" w:rsidR="00F46EFD" w:rsidRPr="00087487" w:rsidRDefault="00F46EFD" w:rsidP="00F46EFD">
      <w:pPr>
        <w:rPr>
          <w:u w:val="single"/>
        </w:rPr>
      </w:pPr>
      <w:r>
        <w:rPr>
          <w:u w:val="single"/>
        </w:rPr>
        <w:t>Year 1, 2016-17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36792479" w14:textId="77777777" w:rsidTr="00CD6EC0">
        <w:tc>
          <w:tcPr>
            <w:tcW w:w="3209" w:type="dxa"/>
          </w:tcPr>
          <w:p w14:paraId="12000573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25DDC08E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6CD63843" w14:textId="77777777" w:rsidR="00F46EFD" w:rsidRDefault="00F46EFD" w:rsidP="00CD6EC0">
            <w:r w:rsidRPr="00721EB9">
              <w:t>c) Sandwich year out</w:t>
            </w:r>
          </w:p>
          <w:p w14:paraId="4730CEC5" w14:textId="77777777" w:rsidR="00EC66A3" w:rsidRDefault="00EC66A3" w:rsidP="00CD6EC0"/>
        </w:tc>
      </w:tr>
    </w:tbl>
    <w:p w14:paraId="1DDBC83E" w14:textId="3826BFAF" w:rsidR="00F46EFD" w:rsidRPr="00087487" w:rsidRDefault="00F46EFD" w:rsidP="00F46EFD">
      <w:pPr>
        <w:rPr>
          <w:u w:val="single"/>
        </w:rPr>
      </w:pPr>
      <w:r>
        <w:rPr>
          <w:u w:val="single"/>
        </w:rPr>
        <w:t xml:space="preserve">Year 2, </w:t>
      </w:r>
      <w:r w:rsidRPr="00087487">
        <w:rPr>
          <w:u w:val="single"/>
        </w:rPr>
        <w:t>2017-18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6FC41C7E" w14:textId="77777777" w:rsidTr="00CD6EC0">
        <w:tc>
          <w:tcPr>
            <w:tcW w:w="3209" w:type="dxa"/>
          </w:tcPr>
          <w:p w14:paraId="139DB8CF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24C79F37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713957F9" w14:textId="77777777" w:rsidR="00F46EFD" w:rsidRDefault="00F46EFD" w:rsidP="00CD6EC0">
            <w:r w:rsidRPr="00721EB9">
              <w:t>c) Sandwich year out</w:t>
            </w:r>
          </w:p>
          <w:p w14:paraId="1933B56F" w14:textId="77777777" w:rsidR="00EC66A3" w:rsidRDefault="00EC66A3" w:rsidP="00CD6EC0"/>
        </w:tc>
      </w:tr>
    </w:tbl>
    <w:p w14:paraId="1C7A3CAC" w14:textId="034B622A" w:rsidR="00F46EFD" w:rsidRDefault="00F46EFD" w:rsidP="00F46EFD">
      <w:pPr>
        <w:rPr>
          <w:u w:val="single"/>
        </w:rPr>
      </w:pPr>
      <w:r>
        <w:rPr>
          <w:u w:val="single"/>
        </w:rPr>
        <w:t xml:space="preserve">Year 3, </w:t>
      </w:r>
      <w:r w:rsidRPr="00087487">
        <w:rPr>
          <w:u w:val="single"/>
        </w:rPr>
        <w:t>2018-19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346B8CBE" w14:textId="77777777" w:rsidTr="00CD6EC0">
        <w:tc>
          <w:tcPr>
            <w:tcW w:w="3209" w:type="dxa"/>
          </w:tcPr>
          <w:p w14:paraId="187664C2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11042AE4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67EE1A15" w14:textId="77777777" w:rsidR="00F46EFD" w:rsidRDefault="00F46EFD" w:rsidP="00CD6EC0">
            <w:r w:rsidRPr="00721EB9">
              <w:t>c) Sandwich year out</w:t>
            </w:r>
          </w:p>
        </w:tc>
      </w:tr>
    </w:tbl>
    <w:p w14:paraId="1D9CCC4C" w14:textId="77777777" w:rsidR="00F46EFD" w:rsidRDefault="00F46EFD" w:rsidP="00F46EFD">
      <w:pPr>
        <w:pStyle w:val="Heading3"/>
      </w:pPr>
      <w:r w:rsidRPr="00E97127">
        <w:t xml:space="preserve">Annex </w:t>
      </w:r>
      <w:r w:rsidRPr="00D97B3F">
        <w:t>G: Price groups</w:t>
      </w:r>
    </w:p>
    <w:p w14:paraId="5F1F66F1" w14:textId="0393A854" w:rsidR="004F6D0D" w:rsidRDefault="00F46EFD" w:rsidP="00B77C41">
      <w:pPr>
        <w:pStyle w:val="Numberedtext1"/>
        <w:keepNext/>
        <w:ind w:left="284" w:hanging="284"/>
      </w:pPr>
      <w:r w:rsidRPr="00D97B3F">
        <w:t xml:space="preserve">A student is studying for an undergraduate degree </w:t>
      </w:r>
      <w:r w:rsidRPr="004E5759">
        <w:t>in Fashion Design with Business</w:t>
      </w:r>
      <w:r w:rsidRPr="00D97B3F">
        <w:t xml:space="preserve">. </w:t>
      </w:r>
      <w:r w:rsidR="004F6D0D">
        <w:t xml:space="preserve">The course is split between the </w:t>
      </w:r>
      <w:r w:rsidRPr="004E5759">
        <w:t>Business</w:t>
      </w:r>
      <w:r w:rsidRPr="00D97B3F">
        <w:t xml:space="preserve"> </w:t>
      </w:r>
      <w:r>
        <w:t xml:space="preserve">and Economics department </w:t>
      </w:r>
      <w:r w:rsidR="004F6D0D">
        <w:t xml:space="preserve">(who </w:t>
      </w:r>
      <w:r w:rsidRPr="00D97B3F">
        <w:t>teach 40% of the course</w:t>
      </w:r>
      <w:r w:rsidR="004F6D0D">
        <w:t>)</w:t>
      </w:r>
      <w:r w:rsidRPr="00D97B3F">
        <w:t xml:space="preserve">, </w:t>
      </w:r>
      <w:r w:rsidR="004F6D0D">
        <w:t xml:space="preserve">and </w:t>
      </w:r>
      <w:r w:rsidRPr="00D97B3F">
        <w:t xml:space="preserve">the </w:t>
      </w:r>
      <w:r>
        <w:t>Art and Design</w:t>
      </w:r>
      <w:r w:rsidRPr="00D97B3F">
        <w:t xml:space="preserve"> department</w:t>
      </w:r>
      <w:r w:rsidR="004F6D0D">
        <w:t xml:space="preserve"> (Who teach the remaining 60%)</w:t>
      </w:r>
      <w:r w:rsidRPr="00D97B3F">
        <w:t>.</w:t>
      </w:r>
      <w:r w:rsidR="004F6D0D">
        <w:t xml:space="preserve">The course has the following </w:t>
      </w:r>
      <w:r w:rsidR="00B77C41">
        <w:t>subject codes associated with it: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2"/>
        <w:gridCol w:w="3078"/>
        <w:gridCol w:w="3108"/>
      </w:tblGrid>
      <w:tr w:rsidR="004F6D0D" w14:paraId="6636FF46" w14:textId="77777777" w:rsidTr="005D170F">
        <w:tc>
          <w:tcPr>
            <w:tcW w:w="32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9D2028" w14:textId="77777777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E77513" w14:textId="2058AF6A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Fashion Design</w:t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832BDF" w14:textId="054E3D85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Business and Management</w:t>
            </w:r>
          </w:p>
        </w:tc>
      </w:tr>
      <w:tr w:rsidR="004F6D0D" w14:paraId="7E5142ED" w14:textId="77777777" w:rsidTr="005D170F"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EC049B" w14:textId="018C92AC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JACS code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9A8E5" w14:textId="34E153D4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W230</w:t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5112F6" w14:textId="4359CBC6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N000</w:t>
            </w:r>
          </w:p>
        </w:tc>
      </w:tr>
      <w:tr w:rsidR="004F6D0D" w14:paraId="31C0A159" w14:textId="77777777" w:rsidTr="005D170F"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817CF4" w14:textId="3BD61CC7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LDCS code</w:t>
            </w: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A3640D" w14:textId="66EB4A03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JK</w:t>
            </w:r>
          </w:p>
        </w:tc>
        <w:tc>
          <w:tcPr>
            <w:tcW w:w="32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41FE2B" w14:textId="6B83422F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EB</w:t>
            </w:r>
          </w:p>
        </w:tc>
      </w:tr>
      <w:tr w:rsidR="004F6D0D" w14:paraId="3003E443" w14:textId="77777777" w:rsidTr="005D170F"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FA921F" w14:textId="42046A3D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CAH / HECoS code</w:t>
            </w:r>
          </w:p>
        </w:tc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49158" w14:textId="12307A3C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21-01-03 / 100055</w:t>
            </w:r>
          </w:p>
        </w:tc>
        <w:tc>
          <w:tcPr>
            <w:tcW w:w="3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8ADE4" w14:textId="68CE00DF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17-01-01 / 100078</w:t>
            </w:r>
          </w:p>
        </w:tc>
      </w:tr>
    </w:tbl>
    <w:p w14:paraId="23563CC1" w14:textId="7669C9F4" w:rsidR="00F46EFD" w:rsidRDefault="00F46EFD" w:rsidP="00B77C41">
      <w:pPr>
        <w:pStyle w:val="Numberedtext1"/>
        <w:numPr>
          <w:ilvl w:val="0"/>
          <w:numId w:val="0"/>
        </w:numPr>
        <w:spacing w:before="240"/>
        <w:ind w:left="357"/>
      </w:pPr>
      <w:r w:rsidRPr="00D97B3F">
        <w:t xml:space="preserve">On the </w:t>
      </w:r>
      <w:r w:rsidR="004F6D0D">
        <w:t>HESESB/HESF return</w:t>
      </w:r>
      <w:r w:rsidRPr="00D97B3F">
        <w:t>, the student should be recorded in:</w:t>
      </w:r>
    </w:p>
    <w:p w14:paraId="3E6573FB" w14:textId="77777777" w:rsidR="00F46EFD" w:rsidRDefault="00F46EFD" w:rsidP="00F46EFD">
      <w:pPr>
        <w:pStyle w:val="Numberedtext2"/>
      </w:pPr>
      <w:r>
        <w:t xml:space="preserve">Price group D only </w:t>
      </w:r>
    </w:p>
    <w:p w14:paraId="551F430B" w14:textId="77777777" w:rsidR="00F46EFD" w:rsidRDefault="00F46EFD" w:rsidP="00F46EFD">
      <w:pPr>
        <w:pStyle w:val="Numberedtext2"/>
      </w:pPr>
      <w:r>
        <w:t>0.6 FTE in price group D and 0.4 in price group C1</w:t>
      </w:r>
    </w:p>
    <w:p w14:paraId="2B5BD530" w14:textId="77777777" w:rsidR="00F46EFD" w:rsidRDefault="00F46EFD" w:rsidP="00F46EFD">
      <w:pPr>
        <w:pStyle w:val="Numberedtext2"/>
      </w:pPr>
      <w:r>
        <w:t>0.5 FTE in price group D and 0.5 in price group C1</w:t>
      </w:r>
    </w:p>
    <w:p w14:paraId="7D0E6441" w14:textId="77777777" w:rsidR="00F46EFD" w:rsidRDefault="00F46EFD" w:rsidP="00F46EFD">
      <w:pPr>
        <w:pStyle w:val="Numberedtext2"/>
      </w:pPr>
      <w:r>
        <w:t>0.4 FTE in price group D and 0.6 in price group C1</w:t>
      </w:r>
    </w:p>
    <w:p w14:paraId="2C291F4E" w14:textId="77777777" w:rsidR="00F46EFD" w:rsidRPr="00652E96" w:rsidRDefault="00F46EFD" w:rsidP="00F46EFD">
      <w:pPr>
        <w:pStyle w:val="Numberedtext2"/>
      </w:pPr>
      <w:r w:rsidRPr="00652E96">
        <w:t>Price group C1 only</w:t>
      </w:r>
    </w:p>
    <w:p w14:paraId="0417AB13" w14:textId="1198DB80" w:rsidR="00F46EFD" w:rsidRPr="0078613D" w:rsidRDefault="00F46EFD" w:rsidP="00B77C41">
      <w:pPr>
        <w:pStyle w:val="Numberedtext1"/>
        <w:keepNext/>
        <w:ind w:left="284" w:hanging="284"/>
      </w:pPr>
      <w:r w:rsidRPr="0078613D">
        <w:lastRenderedPageBreak/>
        <w:t>If the student in question 5 was to take a sandwich year out, what price group</w:t>
      </w:r>
      <w:r w:rsidR="00B77C41">
        <w:t>(s)</w:t>
      </w:r>
      <w:r w:rsidRPr="0078613D">
        <w:t xml:space="preserve"> would this year be recorded in?</w:t>
      </w:r>
    </w:p>
    <w:p w14:paraId="040CD206" w14:textId="77777777" w:rsidR="00F46EFD" w:rsidRPr="00CC3090" w:rsidRDefault="00F46EFD" w:rsidP="00F46EFD">
      <w:pPr>
        <w:pStyle w:val="Heading3"/>
      </w:pPr>
      <w:r w:rsidRPr="00CC3090">
        <w:t>Annex J: Long years of course</w:t>
      </w:r>
    </w:p>
    <w:p w14:paraId="7AE1F45C" w14:textId="77777777" w:rsidR="00F46EFD" w:rsidRPr="00CC3090" w:rsidRDefault="00F46EFD" w:rsidP="00B77C41">
      <w:pPr>
        <w:pStyle w:val="Numberedtext1"/>
        <w:keepNext/>
        <w:ind w:left="426" w:hanging="426"/>
      </w:pPr>
      <w:r w:rsidRPr="00CC3090">
        <w:t>A full-time student on a foundation degree studies for 47 weeks in the year of course, 10 of which are work-based study. Is this year: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12B9C809" w14:textId="77777777" w:rsidTr="00CD6EC0">
        <w:tc>
          <w:tcPr>
            <w:tcW w:w="3209" w:type="dxa"/>
          </w:tcPr>
          <w:p w14:paraId="496878DD" w14:textId="77777777" w:rsidR="00F46EFD" w:rsidRPr="00CC3090" w:rsidRDefault="00F46EFD" w:rsidP="00CD6EC0">
            <w:r w:rsidRPr="00CC3090">
              <w:t>a) standard length</w:t>
            </w:r>
          </w:p>
        </w:tc>
        <w:tc>
          <w:tcPr>
            <w:tcW w:w="3209" w:type="dxa"/>
          </w:tcPr>
          <w:p w14:paraId="30296789" w14:textId="77777777" w:rsidR="00F46EFD" w:rsidRDefault="00F46EFD" w:rsidP="00CD6EC0">
            <w:r w:rsidRPr="00CC3090">
              <w:t>b) a long year</w:t>
            </w:r>
            <w:r w:rsidRPr="00CC3090">
              <w:tab/>
            </w:r>
          </w:p>
          <w:p w14:paraId="47F19179" w14:textId="77777777" w:rsidR="00B77C41" w:rsidRPr="00CC3090" w:rsidRDefault="00B77C41" w:rsidP="00CD6EC0"/>
        </w:tc>
        <w:tc>
          <w:tcPr>
            <w:tcW w:w="3210" w:type="dxa"/>
          </w:tcPr>
          <w:p w14:paraId="1966AAF9" w14:textId="77777777" w:rsidR="00F46EFD" w:rsidRPr="00CC3090" w:rsidRDefault="00F46EFD" w:rsidP="00CD6EC0"/>
        </w:tc>
      </w:tr>
    </w:tbl>
    <w:p w14:paraId="0AC69706" w14:textId="77777777" w:rsidR="00F46EFD" w:rsidRPr="00CC3090" w:rsidRDefault="00F46EFD" w:rsidP="00B77C41">
      <w:pPr>
        <w:pStyle w:val="Numberedtext1"/>
        <w:keepNext/>
        <w:ind w:left="426" w:hanging="426"/>
      </w:pPr>
      <w:r w:rsidRPr="00CC3090">
        <w:t>Similarly, a full-time student on a foundation degree studies for 47 weeks in the year of course entirely in the workplace. Is this year: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321CCC19" w14:textId="77777777" w:rsidTr="00CD6EC0">
        <w:tc>
          <w:tcPr>
            <w:tcW w:w="3209" w:type="dxa"/>
          </w:tcPr>
          <w:p w14:paraId="7F9C7E05" w14:textId="77777777" w:rsidR="00F46EFD" w:rsidRPr="00CC3090" w:rsidRDefault="00F46EFD" w:rsidP="00CD6EC0">
            <w:r w:rsidRPr="00CC3090">
              <w:t>a) standard length</w:t>
            </w:r>
          </w:p>
        </w:tc>
        <w:tc>
          <w:tcPr>
            <w:tcW w:w="3209" w:type="dxa"/>
          </w:tcPr>
          <w:p w14:paraId="319B728A" w14:textId="77777777" w:rsidR="00F46EFD" w:rsidRPr="00CC3090" w:rsidRDefault="00F46EFD" w:rsidP="00CD6EC0">
            <w:r w:rsidRPr="00CC3090">
              <w:t>b) a long year</w:t>
            </w:r>
            <w:r w:rsidRPr="00CC3090">
              <w:tab/>
            </w:r>
          </w:p>
        </w:tc>
        <w:tc>
          <w:tcPr>
            <w:tcW w:w="3210" w:type="dxa"/>
          </w:tcPr>
          <w:p w14:paraId="3385E130" w14:textId="77777777" w:rsidR="00F46EFD" w:rsidRPr="00CC3090" w:rsidRDefault="00F46EFD" w:rsidP="00CD6EC0"/>
        </w:tc>
      </w:tr>
    </w:tbl>
    <w:p w14:paraId="364A500B" w14:textId="77777777" w:rsidR="00F46EFD" w:rsidRPr="00CC3090" w:rsidRDefault="00F46EFD" w:rsidP="00F46EFD">
      <w:pPr>
        <w:pStyle w:val="Heading3"/>
      </w:pPr>
      <w:r w:rsidRPr="00CC3090">
        <w:t>Annex F: Residential and funding status</w:t>
      </w:r>
    </w:p>
    <w:p w14:paraId="5BED9754" w14:textId="77777777" w:rsidR="00F46EFD" w:rsidRPr="00CC3090" w:rsidRDefault="00F46EFD" w:rsidP="00F46EFD">
      <w:r w:rsidRPr="00CC3090">
        <w:t>For questions 9 to 11, determine the fundability status of the student:</w:t>
      </w:r>
    </w:p>
    <w:p w14:paraId="44D3497B" w14:textId="77777777" w:rsidR="00F46EFD" w:rsidRPr="00CC3090" w:rsidRDefault="00F46EFD" w:rsidP="00B77C41">
      <w:pPr>
        <w:pStyle w:val="Numberedtext1"/>
        <w:keepNext/>
        <w:ind w:left="426" w:hanging="426"/>
      </w:pPr>
      <w:r w:rsidRPr="00CC3090">
        <w:t>A Scottish student already holds an HND in Business &amp; Management. They start a year of course in October 2018, aiming for an HNC in Computing. 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4F5168C4" w14:textId="77777777" w:rsidTr="00CD6EC0">
        <w:tc>
          <w:tcPr>
            <w:tcW w:w="3209" w:type="dxa"/>
          </w:tcPr>
          <w:p w14:paraId="78B6D6F6" w14:textId="77777777" w:rsidR="00F46EFD" w:rsidRPr="00CC3090" w:rsidRDefault="00F46EFD" w:rsidP="00CD6EC0">
            <w:r w:rsidRPr="00CC3090">
              <w:t>a) OfS-fundable</w:t>
            </w:r>
          </w:p>
        </w:tc>
        <w:tc>
          <w:tcPr>
            <w:tcW w:w="3209" w:type="dxa"/>
          </w:tcPr>
          <w:p w14:paraId="19618F0F" w14:textId="77777777" w:rsidR="00F46EFD" w:rsidRPr="00CC3090" w:rsidRDefault="00F46EFD" w:rsidP="00CD6EC0">
            <w:r w:rsidRPr="00CC3090">
              <w:t>b) non-fundable</w:t>
            </w:r>
            <w:r w:rsidRPr="00CC3090">
              <w:tab/>
            </w:r>
          </w:p>
        </w:tc>
        <w:tc>
          <w:tcPr>
            <w:tcW w:w="3210" w:type="dxa"/>
          </w:tcPr>
          <w:p w14:paraId="4EB9F74F" w14:textId="5C6804CE" w:rsidR="00EB77DA" w:rsidRPr="00CC3090" w:rsidRDefault="00F46EFD" w:rsidP="00CD6EC0">
            <w:r w:rsidRPr="00CC3090">
              <w:t>c) Island and overseas</w:t>
            </w:r>
          </w:p>
        </w:tc>
      </w:tr>
    </w:tbl>
    <w:p w14:paraId="36EF9046" w14:textId="77777777" w:rsidR="00F46EFD" w:rsidRPr="00CC3090" w:rsidRDefault="00F46EFD" w:rsidP="00B77C41">
      <w:pPr>
        <w:pStyle w:val="Numberedtext1"/>
        <w:keepNext/>
        <w:spacing w:before="120"/>
        <w:ind w:left="425" w:hanging="425"/>
      </w:pPr>
      <w:r w:rsidRPr="00CC3090">
        <w:t>A student from France already holds a first degree. They begin a taught Masters programme. 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06EE2C48" w14:textId="77777777" w:rsidTr="00CD6EC0">
        <w:tc>
          <w:tcPr>
            <w:tcW w:w="3209" w:type="dxa"/>
          </w:tcPr>
          <w:p w14:paraId="1F7E8DCC" w14:textId="77777777" w:rsidR="00F46EFD" w:rsidRPr="00CC3090" w:rsidRDefault="00F46EFD" w:rsidP="00CD6EC0">
            <w:r w:rsidRPr="00CC3090">
              <w:t>a) OfS-fundable</w:t>
            </w:r>
          </w:p>
        </w:tc>
        <w:tc>
          <w:tcPr>
            <w:tcW w:w="3209" w:type="dxa"/>
          </w:tcPr>
          <w:p w14:paraId="55128B2C" w14:textId="77777777" w:rsidR="00F46EFD" w:rsidRPr="00CC3090" w:rsidRDefault="00F46EFD" w:rsidP="00CD6EC0">
            <w:r w:rsidRPr="00CC3090">
              <w:t>b) non-fundable</w:t>
            </w:r>
            <w:r w:rsidRPr="00CC3090">
              <w:tab/>
            </w:r>
          </w:p>
        </w:tc>
        <w:tc>
          <w:tcPr>
            <w:tcW w:w="3210" w:type="dxa"/>
          </w:tcPr>
          <w:p w14:paraId="4371FC70" w14:textId="5346C107" w:rsidR="00EB77DA" w:rsidRPr="00CC3090" w:rsidRDefault="00F46EFD" w:rsidP="00CD6EC0">
            <w:r w:rsidRPr="00CC3090">
              <w:t>c) Island and overseas</w:t>
            </w:r>
          </w:p>
        </w:tc>
      </w:tr>
    </w:tbl>
    <w:p w14:paraId="0CA95727" w14:textId="77777777" w:rsidR="00F46EFD" w:rsidRPr="00CC3090" w:rsidRDefault="00F46EFD" w:rsidP="00B77C41">
      <w:pPr>
        <w:pStyle w:val="Numberedtext1"/>
        <w:keepNext/>
        <w:spacing w:before="120"/>
        <w:ind w:left="425" w:hanging="425"/>
      </w:pPr>
      <w:r w:rsidRPr="00CC3090">
        <w:t>A student from Jersey with no HE-level qualifications begins a foundation degree in October 2018. 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35E40F00" w14:textId="77777777" w:rsidTr="00CD6EC0">
        <w:tc>
          <w:tcPr>
            <w:tcW w:w="3209" w:type="dxa"/>
          </w:tcPr>
          <w:p w14:paraId="5781363A" w14:textId="77777777" w:rsidR="00F46EFD" w:rsidRPr="00CC3090" w:rsidRDefault="00F46EFD" w:rsidP="00CD6EC0">
            <w:r w:rsidRPr="00CC3090">
              <w:t>a) OfS-fundable</w:t>
            </w:r>
          </w:p>
        </w:tc>
        <w:tc>
          <w:tcPr>
            <w:tcW w:w="3209" w:type="dxa"/>
          </w:tcPr>
          <w:p w14:paraId="130A3EB7" w14:textId="77777777" w:rsidR="00F46EFD" w:rsidRPr="00CC3090" w:rsidRDefault="00F46EFD" w:rsidP="00CD6EC0">
            <w:r w:rsidRPr="00CC3090">
              <w:t>b) non-fundable</w:t>
            </w:r>
            <w:r w:rsidRPr="00CC3090">
              <w:tab/>
            </w:r>
          </w:p>
        </w:tc>
        <w:tc>
          <w:tcPr>
            <w:tcW w:w="3210" w:type="dxa"/>
          </w:tcPr>
          <w:p w14:paraId="0B14BEB0" w14:textId="2227286E" w:rsidR="00B77C41" w:rsidRPr="00CC3090" w:rsidRDefault="00F46EFD" w:rsidP="00CD6EC0">
            <w:r w:rsidRPr="00CC3090">
              <w:t>c) Island and overseas</w:t>
            </w:r>
          </w:p>
        </w:tc>
      </w:tr>
    </w:tbl>
    <w:p w14:paraId="348A444D" w14:textId="77777777" w:rsidR="00F46EFD" w:rsidRPr="00CC3090" w:rsidRDefault="00F46EFD" w:rsidP="00B77C41">
      <w:pPr>
        <w:spacing w:before="120"/>
      </w:pPr>
      <w:r w:rsidRPr="00CC3090">
        <w:t>For questions 12 and 13, determine the ELQ status of the student:</w:t>
      </w:r>
    </w:p>
    <w:p w14:paraId="376AFE7D" w14:textId="77777777" w:rsidR="00F46EFD" w:rsidRPr="00CC3090" w:rsidRDefault="00F46EFD" w:rsidP="00B77C41">
      <w:pPr>
        <w:pStyle w:val="Numberedtext1"/>
        <w:keepNext/>
        <w:ind w:left="426" w:hanging="426"/>
      </w:pPr>
      <w:r w:rsidRPr="00CC3090">
        <w:t>A student enters with a foundation degree as their highest qualification already achieved, and has a stated qualification aim of an honours degree.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16FB14CB" w14:textId="77777777" w:rsidTr="00CD6EC0">
        <w:tc>
          <w:tcPr>
            <w:tcW w:w="3209" w:type="dxa"/>
          </w:tcPr>
          <w:p w14:paraId="1EB1C3F3" w14:textId="77777777" w:rsidR="00F46EFD" w:rsidRPr="00CC3090" w:rsidRDefault="00F46EFD" w:rsidP="00CD6EC0">
            <w:r w:rsidRPr="00CC3090">
              <w:t>a) ELQ</w:t>
            </w:r>
          </w:p>
        </w:tc>
        <w:tc>
          <w:tcPr>
            <w:tcW w:w="3209" w:type="dxa"/>
          </w:tcPr>
          <w:p w14:paraId="24B70025" w14:textId="77777777" w:rsidR="00F46EFD" w:rsidRPr="00CC3090" w:rsidRDefault="00F46EFD" w:rsidP="00CD6EC0">
            <w:r w:rsidRPr="00CC3090">
              <w:t>b) not ELQ</w:t>
            </w:r>
            <w:r w:rsidRPr="00CC3090">
              <w:tab/>
            </w:r>
          </w:p>
        </w:tc>
        <w:tc>
          <w:tcPr>
            <w:tcW w:w="3210" w:type="dxa"/>
          </w:tcPr>
          <w:p w14:paraId="1B8D4E21" w14:textId="2A6D12B9" w:rsidR="00EB77DA" w:rsidRPr="00CC3090" w:rsidRDefault="00F46EFD" w:rsidP="00CD6EC0">
            <w:r>
              <w:t>c) ELQ (but exempt)</w:t>
            </w:r>
          </w:p>
        </w:tc>
      </w:tr>
    </w:tbl>
    <w:p w14:paraId="364BA75A" w14:textId="793B46DD" w:rsidR="00F46EFD" w:rsidRPr="00CC3090" w:rsidRDefault="00F46EFD" w:rsidP="00B77C41">
      <w:pPr>
        <w:pStyle w:val="Numberedtext1"/>
        <w:keepNext/>
        <w:spacing w:before="120"/>
        <w:ind w:left="425" w:hanging="425"/>
      </w:pPr>
      <w:r w:rsidRPr="00CC3090">
        <w:t>A student enters in 2017-18 already holding an honours degree as their highest qualification. They intend to study for a foundation degree over two years (2017-18 and 2018-19), and then top-up to an honours degree in one year (2019-20). They have a stated qualification aim of both a foundation degree and an honours degree as part of the same course.</w:t>
      </w:r>
    </w:p>
    <w:p w14:paraId="0F600176" w14:textId="77777777" w:rsidR="00F46EFD" w:rsidRPr="00CC3090" w:rsidRDefault="00F46EFD" w:rsidP="00F46EFD">
      <w:r w:rsidRPr="00CC3090">
        <w:t>The ELQ status for each year will be:</w:t>
      </w:r>
    </w:p>
    <w:p w14:paraId="7124D691" w14:textId="7EDD111E" w:rsidR="00F46EFD" w:rsidRPr="00CC3090" w:rsidRDefault="00F46EFD" w:rsidP="00B77C41">
      <w:pPr>
        <w:spacing w:before="120"/>
        <w:rPr>
          <w:u w:val="single"/>
        </w:rPr>
      </w:pPr>
      <w:r w:rsidRPr="00CC3090">
        <w:rPr>
          <w:u w:val="single"/>
        </w:rPr>
        <w:t>Year 1, 2017-18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2615B9EF" w14:textId="77777777" w:rsidTr="00CD6EC0">
        <w:tc>
          <w:tcPr>
            <w:tcW w:w="3209" w:type="dxa"/>
          </w:tcPr>
          <w:p w14:paraId="2D487C8D" w14:textId="77777777" w:rsidR="00F46EFD" w:rsidRPr="00CC3090" w:rsidRDefault="00F46EFD" w:rsidP="00CD6EC0">
            <w:r w:rsidRPr="00CC3090">
              <w:t>a) ELQ</w:t>
            </w:r>
          </w:p>
        </w:tc>
        <w:tc>
          <w:tcPr>
            <w:tcW w:w="3209" w:type="dxa"/>
          </w:tcPr>
          <w:p w14:paraId="50DEFB13" w14:textId="77777777" w:rsidR="00F46EFD" w:rsidRPr="00CC3090" w:rsidRDefault="00F46EFD" w:rsidP="00CD6EC0">
            <w:r w:rsidRPr="00CC3090">
              <w:t>b) not ELQ</w:t>
            </w:r>
            <w:r w:rsidRPr="00CC3090">
              <w:tab/>
            </w:r>
          </w:p>
        </w:tc>
        <w:tc>
          <w:tcPr>
            <w:tcW w:w="3210" w:type="dxa"/>
          </w:tcPr>
          <w:p w14:paraId="1552D72E" w14:textId="09F5A8EE" w:rsidR="00B77C41" w:rsidRPr="00CC3090" w:rsidRDefault="00F46EFD" w:rsidP="00CD6EC0">
            <w:r>
              <w:t>c) ELQ (but exempt)</w:t>
            </w:r>
          </w:p>
        </w:tc>
      </w:tr>
    </w:tbl>
    <w:p w14:paraId="27B9E7B9" w14:textId="08DB3967" w:rsidR="00F46EFD" w:rsidRPr="00CC3090" w:rsidRDefault="00F46EFD" w:rsidP="00B77C41">
      <w:pPr>
        <w:spacing w:before="120"/>
        <w:rPr>
          <w:u w:val="single"/>
        </w:rPr>
      </w:pPr>
      <w:r w:rsidRPr="00CC3090">
        <w:rPr>
          <w:u w:val="single"/>
        </w:rPr>
        <w:t>Year 2, 2018-19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22C415D6" w14:textId="77777777" w:rsidTr="00CD6EC0">
        <w:tc>
          <w:tcPr>
            <w:tcW w:w="3209" w:type="dxa"/>
          </w:tcPr>
          <w:p w14:paraId="21FB6DCA" w14:textId="77777777" w:rsidR="00F46EFD" w:rsidRPr="00CC3090" w:rsidRDefault="00F46EFD" w:rsidP="00CD6EC0">
            <w:r w:rsidRPr="00CC3090">
              <w:t>a) ELQ</w:t>
            </w:r>
          </w:p>
        </w:tc>
        <w:tc>
          <w:tcPr>
            <w:tcW w:w="3209" w:type="dxa"/>
          </w:tcPr>
          <w:p w14:paraId="45AFA018" w14:textId="77777777" w:rsidR="00F46EFD" w:rsidRPr="00CC3090" w:rsidRDefault="00F46EFD" w:rsidP="00CD6EC0">
            <w:r w:rsidRPr="00CC3090">
              <w:t>b) not ELQ</w:t>
            </w:r>
            <w:r w:rsidRPr="00CC3090">
              <w:tab/>
            </w:r>
          </w:p>
        </w:tc>
        <w:tc>
          <w:tcPr>
            <w:tcW w:w="3210" w:type="dxa"/>
          </w:tcPr>
          <w:p w14:paraId="7D9D9E05" w14:textId="0A0F59D3" w:rsidR="00B77C41" w:rsidRPr="00CC3090" w:rsidRDefault="00F46EFD" w:rsidP="00CD6EC0">
            <w:r>
              <w:t>c) ELQ (but exempt)</w:t>
            </w:r>
          </w:p>
        </w:tc>
      </w:tr>
    </w:tbl>
    <w:p w14:paraId="5D3C9F49" w14:textId="3E13C842" w:rsidR="00F46EFD" w:rsidRPr="00CC3090" w:rsidRDefault="00F46EFD" w:rsidP="00B77C41">
      <w:pPr>
        <w:spacing w:before="120"/>
        <w:rPr>
          <w:u w:val="single"/>
        </w:rPr>
      </w:pPr>
      <w:r w:rsidRPr="00CC3090">
        <w:rPr>
          <w:u w:val="single"/>
        </w:rPr>
        <w:t>Year 3, 2019-20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1B5BF048" w14:textId="77777777" w:rsidTr="00CD6EC0">
        <w:tc>
          <w:tcPr>
            <w:tcW w:w="3209" w:type="dxa"/>
          </w:tcPr>
          <w:p w14:paraId="79B79FCA" w14:textId="77777777" w:rsidR="00F46EFD" w:rsidRPr="00CC3090" w:rsidRDefault="00F46EFD" w:rsidP="00CD6EC0">
            <w:r w:rsidRPr="00CC3090">
              <w:t>a) ELQ</w:t>
            </w:r>
          </w:p>
        </w:tc>
        <w:tc>
          <w:tcPr>
            <w:tcW w:w="3209" w:type="dxa"/>
          </w:tcPr>
          <w:p w14:paraId="1479F448" w14:textId="77777777" w:rsidR="00F46EFD" w:rsidRPr="00CC3090" w:rsidRDefault="00F46EFD" w:rsidP="00CD6EC0">
            <w:r w:rsidRPr="00CC3090">
              <w:t>b) not ELQ</w:t>
            </w:r>
            <w:r w:rsidRPr="00CC3090">
              <w:tab/>
            </w:r>
          </w:p>
        </w:tc>
        <w:tc>
          <w:tcPr>
            <w:tcW w:w="3210" w:type="dxa"/>
          </w:tcPr>
          <w:p w14:paraId="259D3737" w14:textId="77777777" w:rsidR="00F46EFD" w:rsidRPr="00CC3090" w:rsidRDefault="00F46EFD" w:rsidP="00CD6EC0">
            <w:r>
              <w:t>c) ELQ (but exempt)</w:t>
            </w:r>
          </w:p>
        </w:tc>
      </w:tr>
    </w:tbl>
    <w:p w14:paraId="3C436DBD" w14:textId="77777777" w:rsidR="000B267B" w:rsidRDefault="000B267B">
      <w:r>
        <w:br w:type="page"/>
      </w:r>
    </w:p>
    <w:p w14:paraId="4B370211" w14:textId="76B0DB4F" w:rsidR="000B267B" w:rsidRPr="000B267B" w:rsidRDefault="000B267B" w:rsidP="000B267B">
      <w:pPr>
        <w:pStyle w:val="Heading2"/>
      </w:pPr>
      <w:r>
        <w:lastRenderedPageBreak/>
        <w:t>Part 2: HESESB only</w:t>
      </w:r>
    </w:p>
    <w:p w14:paraId="01D5B372" w14:textId="79DA4B86" w:rsidR="000B267B" w:rsidRDefault="000B267B" w:rsidP="000B267B">
      <w:pPr>
        <w:pStyle w:val="Heading2"/>
      </w:pPr>
      <w:r w:rsidRPr="000F5EC3">
        <w:t>Counting students; Planning Tables 5 and 6</w:t>
      </w:r>
      <w:r>
        <w:t>; completion status; FTEs</w:t>
      </w:r>
    </w:p>
    <w:p w14:paraId="7E51D056" w14:textId="77777777" w:rsidR="000B267B" w:rsidRDefault="000B267B" w:rsidP="000B267B">
      <w:pPr>
        <w:pStyle w:val="Heading3"/>
      </w:pPr>
      <w:r w:rsidRPr="002768E1">
        <w:t>Annex C: Counting student activity</w:t>
      </w:r>
      <w:r>
        <w:t xml:space="preserve"> (Tables 1 to 3)</w:t>
      </w:r>
    </w:p>
    <w:p w14:paraId="23B26EBA" w14:textId="77777777" w:rsidR="000B267B" w:rsidRDefault="000B267B" w:rsidP="000B267B">
      <w:r w:rsidRPr="002768E1">
        <w:t xml:space="preserve">For questions 14 to 16 choose a </w:t>
      </w:r>
      <w:r>
        <w:t>HESES18B column (Tables 1 to 3) to record the student in:</w:t>
      </w:r>
    </w:p>
    <w:p w14:paraId="0F4EAD51" w14:textId="77777777" w:rsidR="000B267B" w:rsidRDefault="000B267B" w:rsidP="000B267B">
      <w:pPr>
        <w:pStyle w:val="Bullet1"/>
      </w:pPr>
      <w:r w:rsidRPr="00C22C0B">
        <w:t>Column 1</w:t>
      </w:r>
      <w:r>
        <w:t>: Years countable between 1 August 2018 and 1 December 2018 inclusive</w:t>
      </w:r>
    </w:p>
    <w:p w14:paraId="585BA470" w14:textId="77777777" w:rsidR="000B267B" w:rsidRDefault="000B267B" w:rsidP="000B267B">
      <w:pPr>
        <w:pStyle w:val="Bullet1"/>
      </w:pPr>
      <w:r w:rsidRPr="00C22C0B">
        <w:t xml:space="preserve">Column </w:t>
      </w:r>
      <w:r>
        <w:t>2: Forecast of years countable between 2 December 2018 and 31 July 2019 inclusive</w:t>
      </w:r>
    </w:p>
    <w:p w14:paraId="4EC03660" w14:textId="77777777" w:rsidR="000B267B" w:rsidRDefault="000B267B" w:rsidP="000B267B">
      <w:pPr>
        <w:pStyle w:val="Bullet1"/>
      </w:pPr>
      <w:r w:rsidRPr="006519F9">
        <w:t>Column</w:t>
      </w:r>
      <w:r>
        <w:t xml:space="preserve"> 3: Forecast of years not completed (negative values).</w:t>
      </w:r>
    </w:p>
    <w:p w14:paraId="3EF2EAF9" w14:textId="77777777" w:rsidR="000B267B" w:rsidRPr="00143B39" w:rsidRDefault="000B267B" w:rsidP="000B267B">
      <w:pPr>
        <w:pStyle w:val="Numberedtext1"/>
        <w:spacing w:before="120"/>
        <w:ind w:left="425" w:hanging="425"/>
      </w:pPr>
      <w:r w:rsidRPr="00143B39">
        <w:t>A full-time student starts a degree programme on 24 September 2018, with each year of instance finishing at the end of June. 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267B" w14:paraId="334F0E2C" w14:textId="77777777" w:rsidTr="00825152">
        <w:tc>
          <w:tcPr>
            <w:tcW w:w="3209" w:type="dxa"/>
          </w:tcPr>
          <w:p w14:paraId="082D3418" w14:textId="77777777" w:rsidR="000B267B" w:rsidRDefault="000B267B" w:rsidP="00825152">
            <w:r w:rsidRPr="00721EB9">
              <w:t xml:space="preserve">a) </w:t>
            </w:r>
            <w:r w:rsidRPr="00604CE4">
              <w:t>Column 1</w:t>
            </w:r>
          </w:p>
        </w:tc>
        <w:tc>
          <w:tcPr>
            <w:tcW w:w="3209" w:type="dxa"/>
          </w:tcPr>
          <w:p w14:paraId="493423D5" w14:textId="77777777" w:rsidR="000B267B" w:rsidRDefault="000B267B" w:rsidP="00825152">
            <w:r w:rsidRPr="00721EB9">
              <w:t xml:space="preserve">b) </w:t>
            </w:r>
            <w:r>
              <w:t>Column 2</w:t>
            </w:r>
            <w:r w:rsidRPr="00721EB9">
              <w:tab/>
            </w:r>
          </w:p>
        </w:tc>
        <w:tc>
          <w:tcPr>
            <w:tcW w:w="3210" w:type="dxa"/>
          </w:tcPr>
          <w:p w14:paraId="704F752C" w14:textId="77777777" w:rsidR="000B267B" w:rsidRDefault="000B267B" w:rsidP="00825152">
            <w:r>
              <w:t xml:space="preserve">c) </w:t>
            </w:r>
            <w:r w:rsidRPr="00604CE4">
              <w:t xml:space="preserve">Column </w:t>
            </w:r>
            <w:r>
              <w:t>3</w:t>
            </w:r>
          </w:p>
        </w:tc>
      </w:tr>
    </w:tbl>
    <w:p w14:paraId="7ADF8B1E" w14:textId="77777777" w:rsidR="000B267B" w:rsidRDefault="000B267B" w:rsidP="000B267B">
      <w:pPr>
        <w:pStyle w:val="Numberedtext1"/>
        <w:spacing w:before="120"/>
        <w:ind w:left="425" w:hanging="425"/>
      </w:pPr>
      <w:r w:rsidRPr="00607535">
        <w:t xml:space="preserve">A full-time student starts a degree programme on 18 January </w:t>
      </w:r>
      <w:r>
        <w:t>2019</w:t>
      </w:r>
      <w:r w:rsidRPr="00607535">
        <w:t xml:space="preserve"> with each year of instance finishing in November.</w:t>
      </w:r>
      <w:r>
        <w:t xml:space="preserve"> </w:t>
      </w:r>
      <w:r w:rsidRPr="00AE3A80">
        <w:t>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267B" w14:paraId="0C8CCEDA" w14:textId="77777777" w:rsidTr="00825152">
        <w:tc>
          <w:tcPr>
            <w:tcW w:w="3209" w:type="dxa"/>
          </w:tcPr>
          <w:p w14:paraId="6CE8F5A2" w14:textId="77777777" w:rsidR="000B267B" w:rsidRDefault="000B267B" w:rsidP="00825152">
            <w:r w:rsidRPr="00721EB9">
              <w:t xml:space="preserve">a) </w:t>
            </w:r>
            <w:r w:rsidRPr="00604CE4">
              <w:t>Column 1</w:t>
            </w:r>
          </w:p>
        </w:tc>
        <w:tc>
          <w:tcPr>
            <w:tcW w:w="3209" w:type="dxa"/>
          </w:tcPr>
          <w:p w14:paraId="40242BE2" w14:textId="77777777" w:rsidR="000B267B" w:rsidRDefault="000B267B" w:rsidP="00825152">
            <w:r w:rsidRPr="00721EB9">
              <w:t xml:space="preserve">b) </w:t>
            </w:r>
            <w:r>
              <w:t>Column 2</w:t>
            </w:r>
            <w:r w:rsidRPr="00721EB9">
              <w:tab/>
            </w:r>
          </w:p>
        </w:tc>
        <w:tc>
          <w:tcPr>
            <w:tcW w:w="3210" w:type="dxa"/>
          </w:tcPr>
          <w:p w14:paraId="46B44376" w14:textId="77777777" w:rsidR="000B267B" w:rsidRDefault="000B267B" w:rsidP="00825152">
            <w:r>
              <w:t xml:space="preserve">c) </w:t>
            </w:r>
            <w:r w:rsidRPr="00604CE4">
              <w:t xml:space="preserve">Column </w:t>
            </w:r>
            <w:r>
              <w:t>3</w:t>
            </w:r>
          </w:p>
        </w:tc>
      </w:tr>
    </w:tbl>
    <w:p w14:paraId="10E83187" w14:textId="77777777" w:rsidR="000B267B" w:rsidRDefault="000B267B" w:rsidP="000B267B">
      <w:pPr>
        <w:pStyle w:val="Numberedtext1"/>
        <w:spacing w:before="120"/>
        <w:ind w:left="425" w:hanging="425"/>
      </w:pPr>
      <w:r w:rsidRPr="000F5EC3">
        <w:t>A full-time Higher National Diploma (HND) course starts on</w:t>
      </w:r>
      <w:r>
        <w:t xml:space="preserve"> 9 October 2017 and runs from 9 </w:t>
      </w:r>
      <w:r w:rsidRPr="000F5EC3">
        <w:t>October to 30 June each year. A student starts the HND programme late, on 9 December 2017, but intends to catch up with the rest of the students on the course and follow the same pattern of activity as them.</w:t>
      </w:r>
      <w:r>
        <w:t xml:space="preserve"> </w:t>
      </w:r>
      <w:r w:rsidRPr="00AE3A80">
        <w:t>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267B" w14:paraId="50352D9F" w14:textId="77777777" w:rsidTr="00825152">
        <w:tc>
          <w:tcPr>
            <w:tcW w:w="3209" w:type="dxa"/>
          </w:tcPr>
          <w:p w14:paraId="36C0C197" w14:textId="77777777" w:rsidR="000B267B" w:rsidRDefault="000B267B" w:rsidP="00825152">
            <w:r w:rsidRPr="00721EB9">
              <w:t xml:space="preserve">a) </w:t>
            </w:r>
            <w:r w:rsidRPr="00604CE4">
              <w:t>Column 1</w:t>
            </w:r>
          </w:p>
        </w:tc>
        <w:tc>
          <w:tcPr>
            <w:tcW w:w="3209" w:type="dxa"/>
          </w:tcPr>
          <w:p w14:paraId="1BCF8484" w14:textId="77777777" w:rsidR="000B267B" w:rsidRDefault="000B267B" w:rsidP="00825152">
            <w:r w:rsidRPr="00721EB9">
              <w:t xml:space="preserve">b) </w:t>
            </w:r>
            <w:r>
              <w:t>Column 2</w:t>
            </w:r>
            <w:r w:rsidRPr="00721EB9">
              <w:tab/>
            </w:r>
          </w:p>
        </w:tc>
        <w:tc>
          <w:tcPr>
            <w:tcW w:w="3210" w:type="dxa"/>
          </w:tcPr>
          <w:p w14:paraId="031B7A73" w14:textId="77777777" w:rsidR="000B267B" w:rsidRDefault="000B267B" w:rsidP="00825152">
            <w:r>
              <w:t xml:space="preserve">c) </w:t>
            </w:r>
            <w:r w:rsidRPr="00604CE4">
              <w:t xml:space="preserve">Column </w:t>
            </w:r>
            <w:r>
              <w:t>3</w:t>
            </w:r>
          </w:p>
        </w:tc>
      </w:tr>
    </w:tbl>
    <w:p w14:paraId="23240E2C" w14:textId="77777777" w:rsidR="000B267B" w:rsidRDefault="000B267B" w:rsidP="000B267B">
      <w:pPr>
        <w:pStyle w:val="Heading3"/>
      </w:pPr>
      <w:r w:rsidRPr="000F5EC3">
        <w:t xml:space="preserve">New entrants on Tables 5 and </w:t>
      </w:r>
      <w:r w:rsidRPr="008C2044">
        <w:rPr>
          <w:color w:val="002554" w:themeColor="accent3"/>
        </w:rPr>
        <w:t>6 (see Annex C)</w:t>
      </w:r>
    </w:p>
    <w:p w14:paraId="39407D8F" w14:textId="77777777" w:rsidR="000B267B" w:rsidRPr="00DE4B5B" w:rsidRDefault="000B267B" w:rsidP="000B267B">
      <w:r w:rsidRPr="00DE4B5B">
        <w:t xml:space="preserve">For questions </w:t>
      </w:r>
      <w:r>
        <w:t>17</w:t>
      </w:r>
      <w:r w:rsidRPr="00DE4B5B">
        <w:t xml:space="preserve"> and </w:t>
      </w:r>
      <w:r>
        <w:t>18</w:t>
      </w:r>
      <w:r w:rsidRPr="00DE4B5B">
        <w:t>, should these students be recorded as new entrants?</w:t>
      </w:r>
    </w:p>
    <w:p w14:paraId="7A1DAD0A" w14:textId="77777777" w:rsidR="000B267B" w:rsidRDefault="000B267B" w:rsidP="000B267B">
      <w:pPr>
        <w:pStyle w:val="Numberedtext1"/>
        <w:spacing w:before="120"/>
        <w:ind w:left="425" w:hanging="425"/>
      </w:pPr>
      <w:r w:rsidRPr="00DE4B5B">
        <w:t xml:space="preserve">A student completed a first degree at the </w:t>
      </w:r>
      <w:r>
        <w:t>provider</w:t>
      </w:r>
      <w:r w:rsidRPr="00DE4B5B">
        <w:t xml:space="preserve"> in June </w:t>
      </w:r>
      <w:r>
        <w:t>2018</w:t>
      </w:r>
      <w:r w:rsidRPr="00DE4B5B">
        <w:t xml:space="preserve">. They are forecast to begin a taught Masters degree in January </w:t>
      </w:r>
      <w:r>
        <w:t>2019</w:t>
      </w:r>
      <w:r w:rsidRPr="00DE4B5B">
        <w:t>. Is this student a new entrant?</w:t>
      </w:r>
    </w:p>
    <w:p w14:paraId="5F844D85" w14:textId="77777777" w:rsidR="000B267B" w:rsidRPr="00DE4B5B" w:rsidRDefault="000B267B" w:rsidP="000B267B">
      <w:pPr>
        <w:pStyle w:val="Numberedtext1"/>
        <w:spacing w:before="120"/>
        <w:ind w:left="425" w:hanging="425"/>
      </w:pPr>
      <w:r>
        <w:t>An OfS</w:t>
      </w:r>
      <w:r w:rsidRPr="00DE4B5B">
        <w:t>-fundable student studies full-time for a foundation degree at a co</w:t>
      </w:r>
      <w:r>
        <w:t>llege in the academic years 2016-17 and 2017-18</w:t>
      </w:r>
      <w:r w:rsidRPr="00DE4B5B">
        <w:t>, then transfers to a university to top up to a ful</w:t>
      </w:r>
      <w:r>
        <w:t>l-time bachelor’s degree in 2018-19</w:t>
      </w:r>
      <w:r w:rsidRPr="00DE4B5B">
        <w:t>:</w:t>
      </w:r>
    </w:p>
    <w:p w14:paraId="719ECEF1" w14:textId="77777777" w:rsidR="000B267B" w:rsidRDefault="000B267B" w:rsidP="000B267B">
      <w:pPr>
        <w:pStyle w:val="Numberedtext2"/>
      </w:pPr>
      <w:r w:rsidRPr="00DE4B5B">
        <w:t>If the foundation degree was delivered by the college on behalf of the university (under a subcontractual arrangement), is this student a new entrant for the university?</w:t>
      </w:r>
    </w:p>
    <w:p w14:paraId="7475D567" w14:textId="77777777" w:rsidR="000B267B" w:rsidRDefault="000B267B" w:rsidP="000B267B">
      <w:pPr>
        <w:pStyle w:val="Numberedtext2"/>
      </w:pPr>
      <w:r w:rsidRPr="00DE4B5B">
        <w:t>If the foundation degre</w:t>
      </w:r>
      <w:r>
        <w:t>e was not delivered under a sub</w:t>
      </w:r>
      <w:r w:rsidRPr="00DE4B5B">
        <w:t>contractual arrangement, is this student a new entrant for the university?</w:t>
      </w:r>
    </w:p>
    <w:p w14:paraId="6788D94F" w14:textId="77777777" w:rsidR="000B267B" w:rsidRDefault="000B267B" w:rsidP="000B267B">
      <w:pPr>
        <w:pStyle w:val="Heading3"/>
        <w:keepNext/>
      </w:pPr>
      <w:r w:rsidRPr="00F034DD">
        <w:lastRenderedPageBreak/>
        <w:t>Annex D: Completion and non-completion</w:t>
      </w:r>
    </w:p>
    <w:p w14:paraId="0805A683" w14:textId="77777777" w:rsidR="000B267B" w:rsidRDefault="000B267B" w:rsidP="000B267B">
      <w:pPr>
        <w:keepNext/>
      </w:pPr>
      <w:r w:rsidRPr="0095097D">
        <w:t xml:space="preserve">For questions </w:t>
      </w:r>
      <w:r>
        <w:t>19</w:t>
      </w:r>
      <w:r w:rsidRPr="0095097D">
        <w:t xml:space="preserve"> to </w:t>
      </w:r>
      <w:r>
        <w:t>22</w:t>
      </w:r>
      <w:r w:rsidRPr="0095097D">
        <w:t xml:space="preserve"> determine the completion status of the year. Note – these questions mainly relate to assessing completion for individual students, not making prediction forecasts.</w:t>
      </w:r>
    </w:p>
    <w:p w14:paraId="5BD197E6" w14:textId="77777777" w:rsidR="000B267B" w:rsidRDefault="000B267B" w:rsidP="000B267B">
      <w:pPr>
        <w:pStyle w:val="Numberedtext1"/>
        <w:keepNext/>
        <w:spacing w:before="120"/>
        <w:ind w:left="425" w:hanging="425"/>
      </w:pPr>
      <w:r w:rsidRPr="0095097D">
        <w:t xml:space="preserve">A full-time student starts the year of instance in October </w:t>
      </w:r>
      <w:r>
        <w:t>2017</w:t>
      </w:r>
      <w:r w:rsidRPr="0095097D">
        <w:t xml:space="preserve"> intending to study 8 modules, all having exams in June </w:t>
      </w:r>
      <w:r>
        <w:t>2018</w:t>
      </w:r>
      <w:r w:rsidRPr="0095097D">
        <w:t>. The student turns up to the final exam for all modules in June.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267B" w14:paraId="1618EC9A" w14:textId="77777777" w:rsidTr="00825152">
        <w:tc>
          <w:tcPr>
            <w:tcW w:w="3209" w:type="dxa"/>
          </w:tcPr>
          <w:p w14:paraId="12BD481F" w14:textId="77777777" w:rsidR="000B267B" w:rsidRDefault="000B267B" w:rsidP="00825152">
            <w:r w:rsidRPr="00721EB9">
              <w:t xml:space="preserve">a) </w:t>
            </w:r>
            <w:r w:rsidRPr="0095097D">
              <w:t>Completion</w:t>
            </w:r>
          </w:p>
        </w:tc>
        <w:tc>
          <w:tcPr>
            <w:tcW w:w="3209" w:type="dxa"/>
          </w:tcPr>
          <w:p w14:paraId="02848084" w14:textId="77777777" w:rsidR="000B267B" w:rsidRDefault="000B267B" w:rsidP="00825152">
            <w:r w:rsidRPr="00721EB9">
              <w:t>b)</w:t>
            </w:r>
            <w:r>
              <w:t xml:space="preserve"> </w:t>
            </w:r>
            <w:r w:rsidRPr="0095097D">
              <w:t>non-completion</w:t>
            </w:r>
          </w:p>
        </w:tc>
        <w:tc>
          <w:tcPr>
            <w:tcW w:w="3210" w:type="dxa"/>
          </w:tcPr>
          <w:p w14:paraId="304304B9" w14:textId="77777777" w:rsidR="000B267B" w:rsidRDefault="000B267B" w:rsidP="00825152">
            <w:r>
              <w:t>c) unknown</w:t>
            </w:r>
          </w:p>
        </w:tc>
      </w:tr>
    </w:tbl>
    <w:p w14:paraId="55398DAF" w14:textId="77777777" w:rsidR="000B267B" w:rsidRDefault="000B267B" w:rsidP="000B267B">
      <w:pPr>
        <w:pStyle w:val="Numberedtext1"/>
        <w:spacing w:before="120"/>
        <w:ind w:left="425" w:hanging="425"/>
      </w:pPr>
      <w:r w:rsidRPr="004F4DF3">
        <w:t xml:space="preserve">As </w:t>
      </w:r>
      <w:r>
        <w:t>in Q19</w:t>
      </w:r>
      <w:r w:rsidRPr="004F4DF3">
        <w:t xml:space="preserve">, but in one module the student did not attend the final exam in June </w:t>
      </w:r>
      <w:r>
        <w:t>2018</w:t>
      </w:r>
      <w:r w:rsidRPr="004F4DF3">
        <w:t xml:space="preserve">. For this module, it is impossible to pass without taking the final exam. They intend to take the exam at the next opportunity in September </w:t>
      </w:r>
      <w:r>
        <w:t>2018</w:t>
      </w:r>
      <w:r w:rsidRPr="004F4DF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267B" w14:paraId="27BC4F6D" w14:textId="77777777" w:rsidTr="00825152">
        <w:tc>
          <w:tcPr>
            <w:tcW w:w="3209" w:type="dxa"/>
          </w:tcPr>
          <w:p w14:paraId="1BFD6631" w14:textId="77777777" w:rsidR="000B267B" w:rsidRDefault="000B267B" w:rsidP="00825152">
            <w:r w:rsidRPr="00721EB9">
              <w:t xml:space="preserve">a) </w:t>
            </w:r>
            <w:r w:rsidRPr="0095097D">
              <w:t>Completion</w:t>
            </w:r>
          </w:p>
        </w:tc>
        <w:tc>
          <w:tcPr>
            <w:tcW w:w="3209" w:type="dxa"/>
          </w:tcPr>
          <w:p w14:paraId="634623B1" w14:textId="77777777" w:rsidR="000B267B" w:rsidRDefault="000B267B" w:rsidP="00825152">
            <w:r w:rsidRPr="00721EB9">
              <w:t>b)</w:t>
            </w:r>
            <w:r>
              <w:t xml:space="preserve"> </w:t>
            </w:r>
            <w:r w:rsidRPr="0095097D">
              <w:t>non-completion</w:t>
            </w:r>
          </w:p>
        </w:tc>
        <w:tc>
          <w:tcPr>
            <w:tcW w:w="3210" w:type="dxa"/>
          </w:tcPr>
          <w:p w14:paraId="14D4187E" w14:textId="77777777" w:rsidR="000B267B" w:rsidRDefault="000B267B" w:rsidP="00825152">
            <w:r>
              <w:t>c) unknown</w:t>
            </w:r>
          </w:p>
        </w:tc>
      </w:tr>
    </w:tbl>
    <w:p w14:paraId="7E3FBE2B" w14:textId="77777777" w:rsidR="000B267B" w:rsidRDefault="000B267B" w:rsidP="000B267B">
      <w:pPr>
        <w:pStyle w:val="Numberedtext1"/>
        <w:spacing w:before="120"/>
        <w:ind w:left="425" w:hanging="425"/>
      </w:pPr>
      <w:r w:rsidRPr="00E16482">
        <w:t xml:space="preserve">As </w:t>
      </w:r>
      <w:r>
        <w:t>in Q19</w:t>
      </w:r>
      <w:r w:rsidRPr="00E16482">
        <w:t xml:space="preserve">, but in one module the student did not attend the final exam in June </w:t>
      </w:r>
      <w:r>
        <w:t>2018</w:t>
      </w:r>
      <w:r w:rsidRPr="00E16482">
        <w:t xml:space="preserve">. Final assessment for this module only takes place in June each year. They </w:t>
      </w:r>
      <w:r>
        <w:t xml:space="preserve">plan to </w:t>
      </w:r>
      <w:r w:rsidRPr="00E16482">
        <w:t xml:space="preserve">take the exam at the next opportunity in June </w:t>
      </w:r>
      <w:r>
        <w:t>2019</w:t>
      </w:r>
      <w:r w:rsidRPr="00E16482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267B" w14:paraId="410FC132" w14:textId="77777777" w:rsidTr="00825152">
        <w:tc>
          <w:tcPr>
            <w:tcW w:w="3209" w:type="dxa"/>
          </w:tcPr>
          <w:p w14:paraId="6E6F72F3" w14:textId="77777777" w:rsidR="000B267B" w:rsidRDefault="000B267B" w:rsidP="00825152">
            <w:r w:rsidRPr="00721EB9">
              <w:t xml:space="preserve">a) </w:t>
            </w:r>
            <w:r w:rsidRPr="0095097D">
              <w:t>Completion</w:t>
            </w:r>
          </w:p>
        </w:tc>
        <w:tc>
          <w:tcPr>
            <w:tcW w:w="3209" w:type="dxa"/>
          </w:tcPr>
          <w:p w14:paraId="4499D3E1" w14:textId="77777777" w:rsidR="000B267B" w:rsidRDefault="000B267B" w:rsidP="00825152">
            <w:r w:rsidRPr="00721EB9">
              <w:t>b)</w:t>
            </w:r>
            <w:r>
              <w:t xml:space="preserve"> </w:t>
            </w:r>
            <w:r w:rsidRPr="0095097D">
              <w:t>non-completion</w:t>
            </w:r>
          </w:p>
        </w:tc>
        <w:tc>
          <w:tcPr>
            <w:tcW w:w="3210" w:type="dxa"/>
          </w:tcPr>
          <w:p w14:paraId="5C624577" w14:textId="77777777" w:rsidR="000B267B" w:rsidRDefault="000B267B" w:rsidP="00825152">
            <w:r>
              <w:t>c) unknown</w:t>
            </w:r>
          </w:p>
        </w:tc>
      </w:tr>
    </w:tbl>
    <w:p w14:paraId="14736246" w14:textId="77777777" w:rsidR="000B267B" w:rsidRDefault="000B267B" w:rsidP="000B267B">
      <w:pPr>
        <w:pStyle w:val="Numberedtext1"/>
        <w:spacing w:before="120"/>
        <w:ind w:left="425" w:hanging="425"/>
      </w:pPr>
      <w:r w:rsidRPr="00A136BF">
        <w:t xml:space="preserve">A student completes their study intentions for the first year of a three-year degree, by completing the modules and undergoing assessment. They then withdraw from the degree and do not return to the </w:t>
      </w:r>
      <w:r>
        <w:t>higher education provider</w:t>
      </w:r>
      <w:r w:rsidRPr="00A136BF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B267B" w14:paraId="0637E945" w14:textId="77777777" w:rsidTr="00825152">
        <w:tc>
          <w:tcPr>
            <w:tcW w:w="3209" w:type="dxa"/>
          </w:tcPr>
          <w:p w14:paraId="298DD95E" w14:textId="77777777" w:rsidR="000B267B" w:rsidRDefault="000B267B" w:rsidP="00825152">
            <w:r w:rsidRPr="00721EB9">
              <w:t xml:space="preserve">a) </w:t>
            </w:r>
            <w:r w:rsidRPr="0095097D">
              <w:t>Completion</w:t>
            </w:r>
          </w:p>
        </w:tc>
        <w:tc>
          <w:tcPr>
            <w:tcW w:w="3209" w:type="dxa"/>
          </w:tcPr>
          <w:p w14:paraId="41D8BEFE" w14:textId="77777777" w:rsidR="000B267B" w:rsidRDefault="000B267B" w:rsidP="00825152">
            <w:r w:rsidRPr="00721EB9">
              <w:t>b)</w:t>
            </w:r>
            <w:r>
              <w:t xml:space="preserve"> </w:t>
            </w:r>
            <w:r w:rsidRPr="0095097D">
              <w:t>non-completion</w:t>
            </w:r>
          </w:p>
        </w:tc>
        <w:tc>
          <w:tcPr>
            <w:tcW w:w="3210" w:type="dxa"/>
          </w:tcPr>
          <w:p w14:paraId="3323F9EE" w14:textId="77777777" w:rsidR="000B267B" w:rsidRDefault="000B267B" w:rsidP="00825152">
            <w:r>
              <w:t>c) unknown</w:t>
            </w:r>
          </w:p>
        </w:tc>
      </w:tr>
    </w:tbl>
    <w:p w14:paraId="29FCAC52" w14:textId="77777777" w:rsidR="000B267B" w:rsidRDefault="000B267B" w:rsidP="000B267B">
      <w:pPr>
        <w:pStyle w:val="Heading3"/>
      </w:pPr>
      <w:r w:rsidRPr="00E66D33">
        <w:t>Annex E: Full-time equivalence for part-time students</w:t>
      </w:r>
    </w:p>
    <w:p w14:paraId="5D6B9EBA" w14:textId="77777777" w:rsidR="000B267B" w:rsidRDefault="000B267B" w:rsidP="000B267B">
      <w:pPr>
        <w:pStyle w:val="Numberedtext1"/>
        <w:spacing w:before="120"/>
        <w:ind w:left="425" w:hanging="425"/>
      </w:pPr>
      <w:r w:rsidRPr="00E66D33">
        <w:t>A student studies for a three year degree over five years. What is the FTE for each year of instance?</w:t>
      </w:r>
    </w:p>
    <w:p w14:paraId="04B536B7" w14:textId="77777777" w:rsidR="000B267B" w:rsidRDefault="000B267B" w:rsidP="000B267B">
      <w:pPr>
        <w:pStyle w:val="Numberedtext1"/>
        <w:spacing w:before="120"/>
        <w:ind w:left="425" w:hanging="425"/>
      </w:pPr>
      <w:r w:rsidRPr="002D6D9D">
        <w:t xml:space="preserve">As </w:t>
      </w:r>
      <w:r>
        <w:t>in Q23</w:t>
      </w:r>
      <w:r w:rsidRPr="002D6D9D">
        <w:t xml:space="preserve">, but the student resits year two. What is the </w:t>
      </w:r>
      <w:r w:rsidRPr="00143B39">
        <w:rPr>
          <w:b/>
        </w:rPr>
        <w:t>total</w:t>
      </w:r>
      <w:r w:rsidRPr="002D6D9D">
        <w:t xml:space="preserve"> FTE for the instance?</w:t>
      </w:r>
    </w:p>
    <w:p w14:paraId="3700C899" w14:textId="77777777" w:rsidR="000B267B" w:rsidRDefault="000B267B" w:rsidP="000B267B">
      <w:pPr>
        <w:pStyle w:val="Numberedtext1"/>
        <w:spacing w:before="120"/>
        <w:ind w:left="425" w:hanging="425"/>
      </w:pPr>
      <w:r w:rsidRPr="002D6D9D">
        <w:t xml:space="preserve">As </w:t>
      </w:r>
      <w:r>
        <w:t>in Q23</w:t>
      </w:r>
      <w:r w:rsidRPr="002D6D9D">
        <w:t xml:space="preserve">, but the student has accredited prior learning and enters directly onto year two of the five year course. What is the </w:t>
      </w:r>
      <w:r w:rsidRPr="00143B39">
        <w:rPr>
          <w:b/>
        </w:rPr>
        <w:t>total</w:t>
      </w:r>
      <w:r w:rsidRPr="002D6D9D">
        <w:t xml:space="preserve"> FTE for the instance?</w:t>
      </w:r>
    </w:p>
    <w:p w14:paraId="341C5F50" w14:textId="77777777" w:rsidR="000B267B" w:rsidRDefault="000B267B" w:rsidP="000B267B">
      <w:pPr>
        <w:pStyle w:val="Numberedtext1"/>
        <w:spacing w:before="120"/>
        <w:ind w:left="425" w:hanging="425"/>
      </w:pPr>
      <w:r w:rsidRPr="002D6D9D">
        <w:t>A full-time, one year course has a 30 week year of instance; the equivalent part time course lasts for two years, each with a 45 week year of instance. What is the FTE returned each time the student becomes countable for the part-time course?</w:t>
      </w:r>
    </w:p>
    <w:p w14:paraId="3F814FB6" w14:textId="77777777" w:rsidR="000B267B" w:rsidRPr="0050521B" w:rsidRDefault="000B267B" w:rsidP="000B267B"/>
    <w:p w14:paraId="6E8A8DCD" w14:textId="77777777" w:rsidR="00AA7866" w:rsidRPr="0050521B" w:rsidRDefault="00AA7866" w:rsidP="000B23D4"/>
    <w:sectPr w:rsidR="00AA7866" w:rsidRPr="0050521B" w:rsidSect="007906A2">
      <w:headerReference w:type="default" r:id="rId8"/>
      <w:footerReference w:type="default" r:id="rId9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FA9A" w14:textId="77777777" w:rsidR="00B77C41" w:rsidRDefault="00B77C41" w:rsidP="007906A2">
      <w:pPr>
        <w:spacing w:after="0" w:line="240" w:lineRule="auto"/>
      </w:pPr>
      <w:r>
        <w:separator/>
      </w:r>
    </w:p>
  </w:endnote>
  <w:endnote w:type="continuationSeparator" w:id="0">
    <w:p w14:paraId="66F1846E" w14:textId="77777777" w:rsidR="00B77C41" w:rsidRDefault="00B77C41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D84F8" w14:textId="77777777" w:rsidR="00B77C41" w:rsidRPr="000D5586" w:rsidRDefault="00B77C41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D13960">
      <w:rPr>
        <w:noProof/>
      </w:rPr>
      <w:t>4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74C3" w14:textId="77777777" w:rsidR="00B77C41" w:rsidRDefault="00B77C41" w:rsidP="007906A2">
      <w:pPr>
        <w:spacing w:after="0" w:line="240" w:lineRule="auto"/>
      </w:pPr>
      <w:r>
        <w:separator/>
      </w:r>
    </w:p>
  </w:footnote>
  <w:footnote w:type="continuationSeparator" w:id="0">
    <w:p w14:paraId="57773000" w14:textId="77777777" w:rsidR="00B77C41" w:rsidRDefault="00B77C41" w:rsidP="0079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0656" w14:textId="768B2F9F" w:rsidR="00B77C41" w:rsidRDefault="00B77C41">
    <w:pPr>
      <w:pStyle w:val="Header"/>
    </w:pPr>
    <w:r w:rsidRPr="00E97127">
      <w:t xml:space="preserve">OfS </w:t>
    </w:r>
    <w:r>
      <w:t>HESF – HESES18B</w:t>
    </w:r>
    <w:r w:rsidRPr="00E97127">
      <w:t xml:space="preserve"> Seminar</w:t>
    </w:r>
    <w:r>
      <w:t xml:space="preserve">; </w:t>
    </w:r>
    <w:r w:rsidRPr="00305FD9">
      <w:t xml:space="preserve">funding rules and definitions </w:t>
    </w:r>
    <w:r w:rsidRPr="00E97127">
      <w:t>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15"/>
  </w:num>
  <w:num w:numId="18">
    <w:abstractNumId w:val="14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AA7866"/>
    <w:rsid w:val="0001611E"/>
    <w:rsid w:val="0007321F"/>
    <w:rsid w:val="000B23D4"/>
    <w:rsid w:val="000B267B"/>
    <w:rsid w:val="000D5586"/>
    <w:rsid w:val="000E46A8"/>
    <w:rsid w:val="00121BE6"/>
    <w:rsid w:val="00160D54"/>
    <w:rsid w:val="00214A60"/>
    <w:rsid w:val="00230F2C"/>
    <w:rsid w:val="00283ADA"/>
    <w:rsid w:val="0028644A"/>
    <w:rsid w:val="00303E3E"/>
    <w:rsid w:val="0034005B"/>
    <w:rsid w:val="00356F9A"/>
    <w:rsid w:val="00365923"/>
    <w:rsid w:val="00383FA9"/>
    <w:rsid w:val="00387013"/>
    <w:rsid w:val="00403183"/>
    <w:rsid w:val="004C31D6"/>
    <w:rsid w:val="004E554A"/>
    <w:rsid w:val="004F6D0D"/>
    <w:rsid w:val="0050521B"/>
    <w:rsid w:val="00512FA6"/>
    <w:rsid w:val="0052074C"/>
    <w:rsid w:val="005A11A8"/>
    <w:rsid w:val="005D089A"/>
    <w:rsid w:val="005D170F"/>
    <w:rsid w:val="005E57D0"/>
    <w:rsid w:val="005F17E7"/>
    <w:rsid w:val="00600763"/>
    <w:rsid w:val="006141A1"/>
    <w:rsid w:val="00711BC5"/>
    <w:rsid w:val="00783330"/>
    <w:rsid w:val="007906A2"/>
    <w:rsid w:val="008258BD"/>
    <w:rsid w:val="00842A8B"/>
    <w:rsid w:val="008B6331"/>
    <w:rsid w:val="00981463"/>
    <w:rsid w:val="009827EF"/>
    <w:rsid w:val="009F08E1"/>
    <w:rsid w:val="00A341DD"/>
    <w:rsid w:val="00A96715"/>
    <w:rsid w:val="00AA7866"/>
    <w:rsid w:val="00B00DA0"/>
    <w:rsid w:val="00B77C41"/>
    <w:rsid w:val="00C139E6"/>
    <w:rsid w:val="00CD6EC0"/>
    <w:rsid w:val="00D13960"/>
    <w:rsid w:val="00DE2E26"/>
    <w:rsid w:val="00EB77DA"/>
    <w:rsid w:val="00EC66A3"/>
    <w:rsid w:val="00F46EFD"/>
    <w:rsid w:val="00F64624"/>
    <w:rsid w:val="00F81282"/>
    <w:rsid w:val="00F83F07"/>
    <w:rsid w:val="00FB571A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494E"/>
  <w15:chartTrackingRefBased/>
  <w15:docId w15:val="{59BA0893-5957-41D1-91B1-CD54847B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A0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F46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B5F-07BD-4A5F-8F73-CD636196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Adams [7103]</dc:creator>
  <cp:keywords/>
  <dc:description/>
  <cp:lastModifiedBy>Sara Carroll [7063]</cp:lastModifiedBy>
  <cp:revision>2</cp:revision>
  <dcterms:created xsi:type="dcterms:W3CDTF">2018-10-15T15:45:00Z</dcterms:created>
  <dcterms:modified xsi:type="dcterms:W3CDTF">2018-10-15T15:45:00Z</dcterms:modified>
</cp:coreProperties>
</file>